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1"/>
          <w:szCs w:val="11"/>
          <w:b w:val="1"/>
          <w:bCs w:val="1"/>
          <w:color w:val="auto"/>
        </w:rPr>
        <w:t>As filed with the U.S. Securities and Exchange Commission on June 15, 2026.</w:t>
      </w:r>
    </w:p>
    <w:p>
      <w:pPr>
        <w:spacing w:after="0" w:line="200" w:lineRule="exact"/>
        <w:rPr>
          <w:sz w:val="24"/>
          <w:szCs w:val="24"/>
          <w:color w:val="auto"/>
        </w:rPr>
      </w:pPr>
    </w:p>
    <w:p>
      <w:pPr>
        <w:ind w:left="9900"/>
        <w:spacing w:after="0"/>
        <w:rPr>
          <w:sz w:val="20"/>
          <w:szCs w:val="20"/>
          <w:color w:val="auto"/>
        </w:rPr>
      </w:pPr>
      <w:r>
        <w:rPr>
          <w:rFonts w:ascii="Times New Roman" w:cs="Times New Roman" w:eastAsia="Times New Roman" w:hAnsi="Times New Roman"/>
          <w:sz w:val="11"/>
          <w:szCs w:val="11"/>
          <w:b w:val="1"/>
          <w:bCs w:val="1"/>
          <w:color w:val="auto"/>
        </w:rPr>
        <w:t>Registration No. 333-</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1628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1628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Pattern Group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1424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2480" cy="698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3280" w:type="dxa"/>
            <w:vAlign w:val="bottom"/>
          </w:tcPr>
          <w:p>
            <w:pPr>
              <w:jc w:val="center"/>
              <w:ind w:left="44"/>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5961</w:t>
            </w:r>
          </w:p>
        </w:tc>
        <w:tc>
          <w:tcPr>
            <w:tcW w:w="3260" w:type="dxa"/>
            <w:vAlign w:val="bottom"/>
          </w:tcPr>
          <w:p>
            <w:pPr>
              <w:jc w:val="center"/>
              <w:ind w:right="104"/>
              <w:spacing w:after="0"/>
              <w:rPr>
                <w:sz w:val="20"/>
                <w:szCs w:val="20"/>
                <w:color w:val="auto"/>
              </w:rPr>
            </w:pPr>
            <w:r>
              <w:rPr>
                <w:rFonts w:ascii="Times New Roman" w:cs="Times New Roman" w:eastAsia="Times New Roman" w:hAnsi="Times New Roman"/>
                <w:sz w:val="11"/>
                <w:szCs w:val="11"/>
                <w:b w:val="1"/>
                <w:bCs w:val="1"/>
                <w:color w:val="auto"/>
              </w:rPr>
              <w:t>83-2556861</w:t>
            </w:r>
          </w:p>
        </w:tc>
      </w:tr>
      <w:tr>
        <w:trPr>
          <w:trHeight w:val="157"/>
        </w:trPr>
        <w:tc>
          <w:tcPr>
            <w:tcW w:w="3280" w:type="dxa"/>
            <w:vAlign w:val="bottom"/>
          </w:tcPr>
          <w:p>
            <w:pPr>
              <w:jc w:val="center"/>
              <w:ind w:left="44"/>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4740" w:type="dxa"/>
            <w:vAlign w:val="bottom"/>
          </w:tcPr>
          <w:p>
            <w:pPr>
              <w:jc w:val="center"/>
              <w:ind w:right="4"/>
              <w:spacing w:after="0"/>
              <w:rPr>
                <w:sz w:val="20"/>
                <w:szCs w:val="20"/>
                <w:color w:val="auto"/>
              </w:rPr>
            </w:pPr>
            <w:r>
              <w:rPr>
                <w:rFonts w:ascii="Times New Roman" w:cs="Times New Roman" w:eastAsia="Times New Roman" w:hAnsi="Times New Roman"/>
                <w:sz w:val="11"/>
                <w:szCs w:val="11"/>
                <w:b w:val="1"/>
                <w:bCs w:val="1"/>
                <w:color w:val="auto"/>
              </w:rPr>
              <w:t>(Primary Standard Industrial</w:t>
            </w:r>
          </w:p>
        </w:tc>
        <w:tc>
          <w:tcPr>
            <w:tcW w:w="3260" w:type="dxa"/>
            <w:vAlign w:val="bottom"/>
          </w:tcPr>
          <w:p>
            <w:pPr>
              <w:jc w:val="center"/>
              <w:ind w:right="124"/>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8"/>
        </w:trPr>
        <w:tc>
          <w:tcPr>
            <w:tcW w:w="3280" w:type="dxa"/>
            <w:vAlign w:val="bottom"/>
          </w:tcPr>
          <w:p>
            <w:pPr>
              <w:jc w:val="center"/>
              <w:ind w:left="44"/>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4740" w:type="dxa"/>
            <w:vAlign w:val="bottom"/>
          </w:tcPr>
          <w:p>
            <w:pPr>
              <w:jc w:val="center"/>
              <w:ind w:right="4"/>
              <w:spacing w:after="0"/>
              <w:rPr>
                <w:sz w:val="20"/>
                <w:szCs w:val="20"/>
                <w:color w:val="auto"/>
              </w:rPr>
            </w:pPr>
            <w:r>
              <w:rPr>
                <w:rFonts w:ascii="Times New Roman" w:cs="Times New Roman" w:eastAsia="Times New Roman" w:hAnsi="Times New Roman"/>
                <w:sz w:val="11"/>
                <w:szCs w:val="11"/>
                <w:b w:val="1"/>
                <w:bCs w:val="1"/>
                <w:color w:val="auto"/>
              </w:rPr>
              <w:t>Classification Code Number)</w:t>
            </w:r>
          </w:p>
        </w:tc>
        <w:tc>
          <w:tcPr>
            <w:tcW w:w="3260" w:type="dxa"/>
            <w:vAlign w:val="bottom"/>
          </w:tcPr>
          <w:p>
            <w:pPr>
              <w:jc w:val="center"/>
              <w:ind w:right="124"/>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r>
        <w:trPr>
          <w:trHeight w:val="220"/>
        </w:trPr>
        <w:tc>
          <w:tcPr>
            <w:tcW w:w="3280" w:type="dxa"/>
            <w:vAlign w:val="bottom"/>
          </w:tcPr>
          <w:p>
            <w:pPr>
              <w:spacing w:after="0"/>
              <w:rPr>
                <w:sz w:val="19"/>
                <w:szCs w:val="19"/>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1441 West Innovation Way, Suite 500</w:t>
            </w:r>
          </w:p>
        </w:tc>
        <w:tc>
          <w:tcPr>
            <w:tcW w:w="3260" w:type="dxa"/>
            <w:vAlign w:val="bottom"/>
          </w:tcPr>
          <w:p>
            <w:pPr>
              <w:spacing w:after="0"/>
              <w:rPr>
                <w:sz w:val="19"/>
                <w:szCs w:val="19"/>
                <w:color w:val="auto"/>
              </w:rPr>
            </w:pPr>
          </w:p>
        </w:tc>
      </w:tr>
      <w:tr>
        <w:trPr>
          <w:trHeight w:val="137"/>
        </w:trPr>
        <w:tc>
          <w:tcPr>
            <w:tcW w:w="3280" w:type="dxa"/>
            <w:vAlign w:val="bottom"/>
          </w:tcPr>
          <w:p>
            <w:pPr>
              <w:spacing w:after="0"/>
              <w:rPr>
                <w:sz w:val="11"/>
                <w:szCs w:val="11"/>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Lehi, UT 84043</w:t>
            </w:r>
          </w:p>
        </w:tc>
        <w:tc>
          <w:tcPr>
            <w:tcW w:w="3260" w:type="dxa"/>
            <w:vAlign w:val="bottom"/>
          </w:tcPr>
          <w:p>
            <w:pPr>
              <w:spacing w:after="0"/>
              <w:rPr>
                <w:sz w:val="11"/>
                <w:szCs w:val="11"/>
                <w:color w:val="auto"/>
              </w:rPr>
            </w:pPr>
          </w:p>
        </w:tc>
      </w:tr>
      <w:tr>
        <w:trPr>
          <w:trHeight w:val="137"/>
        </w:trPr>
        <w:tc>
          <w:tcPr>
            <w:tcW w:w="3280" w:type="dxa"/>
            <w:vAlign w:val="bottom"/>
          </w:tcPr>
          <w:p>
            <w:pPr>
              <w:spacing w:after="0"/>
              <w:rPr>
                <w:sz w:val="11"/>
                <w:szCs w:val="11"/>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(866) 765-1355</w:t>
            </w:r>
          </w:p>
        </w:tc>
        <w:tc>
          <w:tcPr>
            <w:tcW w:w="3260" w:type="dxa"/>
            <w:vAlign w:val="bottom"/>
          </w:tcPr>
          <w:p>
            <w:pPr>
              <w:spacing w:after="0"/>
              <w:rPr>
                <w:sz w:val="11"/>
                <w:szCs w:val="11"/>
                <w:color w:val="auto"/>
              </w:rPr>
            </w:pPr>
          </w:p>
        </w:tc>
      </w:tr>
      <w:tr>
        <w:trPr>
          <w:trHeight w:val="126"/>
        </w:trPr>
        <w:tc>
          <w:tcPr>
            <w:tcW w:w="3280" w:type="dxa"/>
            <w:vAlign w:val="bottom"/>
          </w:tcPr>
          <w:p>
            <w:pPr>
              <w:spacing w:after="0"/>
              <w:rPr>
                <w:sz w:val="10"/>
                <w:szCs w:val="10"/>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w:t>
            </w:r>
          </w:p>
        </w:tc>
        <w:tc>
          <w:tcPr>
            <w:tcW w:w="3260" w:type="dxa"/>
            <w:vAlign w:val="bottom"/>
          </w:tcPr>
          <w:p>
            <w:pPr>
              <w:spacing w:after="0"/>
              <w:rPr>
                <w:sz w:val="10"/>
                <w:szCs w:val="10"/>
                <w:color w:val="auto"/>
              </w:rPr>
            </w:pPr>
          </w:p>
        </w:tc>
      </w:tr>
      <w:tr>
        <w:trPr>
          <w:trHeight w:val="148"/>
        </w:trPr>
        <w:tc>
          <w:tcPr>
            <w:tcW w:w="3280" w:type="dxa"/>
            <w:vAlign w:val="bottom"/>
          </w:tcPr>
          <w:p>
            <w:pPr>
              <w:spacing w:after="0"/>
              <w:rPr>
                <w:sz w:val="12"/>
                <w:szCs w:val="12"/>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Area Code, of Registrant’s Principal Executive Offices)</w:t>
            </w:r>
          </w:p>
        </w:tc>
        <w:tc>
          <w:tcPr>
            <w:tcW w:w="3260" w:type="dxa"/>
            <w:vAlign w:val="bottom"/>
          </w:tcPr>
          <w:p>
            <w:pPr>
              <w:spacing w:after="0"/>
              <w:rPr>
                <w:sz w:val="12"/>
                <w:szCs w:val="12"/>
                <w:color w:val="auto"/>
              </w:rPr>
            </w:pPr>
          </w:p>
        </w:tc>
      </w:tr>
      <w:tr>
        <w:trPr>
          <w:trHeight w:val="240"/>
        </w:trPr>
        <w:tc>
          <w:tcPr>
            <w:tcW w:w="328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r>
      <w:tr>
        <w:trPr>
          <w:trHeight w:val="213"/>
        </w:trPr>
        <w:tc>
          <w:tcPr>
            <w:tcW w:w="328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David Wright</w:t>
            </w:r>
          </w:p>
        </w:tc>
        <w:tc>
          <w:tcPr>
            <w:tcW w:w="3260" w:type="dxa"/>
            <w:vAlign w:val="bottom"/>
          </w:tcPr>
          <w:p>
            <w:pPr>
              <w:spacing w:after="0"/>
              <w:rPr>
                <w:sz w:val="18"/>
                <w:szCs w:val="18"/>
                <w:color w:val="auto"/>
              </w:rPr>
            </w:pPr>
          </w:p>
        </w:tc>
      </w:tr>
      <w:tr>
        <w:trPr>
          <w:trHeight w:val="126"/>
        </w:trPr>
        <w:tc>
          <w:tcPr>
            <w:tcW w:w="3280" w:type="dxa"/>
            <w:vAlign w:val="bottom"/>
          </w:tcPr>
          <w:p>
            <w:pPr>
              <w:spacing w:after="0"/>
              <w:rPr>
                <w:sz w:val="10"/>
                <w:szCs w:val="10"/>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Chief Executive Officer</w:t>
            </w:r>
          </w:p>
        </w:tc>
        <w:tc>
          <w:tcPr>
            <w:tcW w:w="3260" w:type="dxa"/>
            <w:vAlign w:val="bottom"/>
          </w:tcPr>
          <w:p>
            <w:pPr>
              <w:spacing w:after="0"/>
              <w:rPr>
                <w:sz w:val="10"/>
                <w:szCs w:val="10"/>
                <w:color w:val="auto"/>
              </w:rPr>
            </w:pPr>
          </w:p>
        </w:tc>
      </w:tr>
      <w:tr>
        <w:trPr>
          <w:trHeight w:val="137"/>
        </w:trPr>
        <w:tc>
          <w:tcPr>
            <w:tcW w:w="3280" w:type="dxa"/>
            <w:vAlign w:val="bottom"/>
          </w:tcPr>
          <w:p>
            <w:pPr>
              <w:spacing w:after="0"/>
              <w:rPr>
                <w:sz w:val="11"/>
                <w:szCs w:val="11"/>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Pattern Group Inc.</w:t>
            </w:r>
          </w:p>
        </w:tc>
        <w:tc>
          <w:tcPr>
            <w:tcW w:w="3260" w:type="dxa"/>
            <w:vAlign w:val="bottom"/>
          </w:tcPr>
          <w:p>
            <w:pPr>
              <w:spacing w:after="0"/>
              <w:rPr>
                <w:sz w:val="11"/>
                <w:szCs w:val="11"/>
                <w:color w:val="auto"/>
              </w:rPr>
            </w:pPr>
          </w:p>
        </w:tc>
      </w:tr>
      <w:tr>
        <w:trPr>
          <w:trHeight w:val="137"/>
        </w:trPr>
        <w:tc>
          <w:tcPr>
            <w:tcW w:w="3280" w:type="dxa"/>
            <w:vAlign w:val="bottom"/>
          </w:tcPr>
          <w:p>
            <w:pPr>
              <w:spacing w:after="0"/>
              <w:rPr>
                <w:sz w:val="11"/>
                <w:szCs w:val="11"/>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1441 West Innovation Way, Suite 500</w:t>
            </w:r>
          </w:p>
        </w:tc>
        <w:tc>
          <w:tcPr>
            <w:tcW w:w="3260" w:type="dxa"/>
            <w:vAlign w:val="bottom"/>
          </w:tcPr>
          <w:p>
            <w:pPr>
              <w:spacing w:after="0"/>
              <w:rPr>
                <w:sz w:val="11"/>
                <w:szCs w:val="11"/>
                <w:color w:val="auto"/>
              </w:rPr>
            </w:pPr>
          </w:p>
        </w:tc>
      </w:tr>
      <w:tr>
        <w:trPr>
          <w:trHeight w:val="137"/>
        </w:trPr>
        <w:tc>
          <w:tcPr>
            <w:tcW w:w="3280" w:type="dxa"/>
            <w:vAlign w:val="bottom"/>
          </w:tcPr>
          <w:p>
            <w:pPr>
              <w:spacing w:after="0"/>
              <w:rPr>
                <w:sz w:val="11"/>
                <w:szCs w:val="11"/>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Lehi, UT 84043</w:t>
            </w:r>
          </w:p>
        </w:tc>
        <w:tc>
          <w:tcPr>
            <w:tcW w:w="3260" w:type="dxa"/>
            <w:vAlign w:val="bottom"/>
          </w:tcPr>
          <w:p>
            <w:pPr>
              <w:spacing w:after="0"/>
              <w:rPr>
                <w:sz w:val="11"/>
                <w:szCs w:val="11"/>
                <w:color w:val="auto"/>
              </w:rPr>
            </w:pPr>
          </w:p>
        </w:tc>
      </w:tr>
      <w:tr>
        <w:trPr>
          <w:trHeight w:val="137"/>
        </w:trPr>
        <w:tc>
          <w:tcPr>
            <w:tcW w:w="3280" w:type="dxa"/>
            <w:vAlign w:val="bottom"/>
          </w:tcPr>
          <w:p>
            <w:pPr>
              <w:spacing w:after="0"/>
              <w:rPr>
                <w:sz w:val="11"/>
                <w:szCs w:val="11"/>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(866) 765-1355</w:t>
            </w:r>
          </w:p>
        </w:tc>
        <w:tc>
          <w:tcPr>
            <w:tcW w:w="3260" w:type="dxa"/>
            <w:vAlign w:val="bottom"/>
          </w:tcPr>
          <w:p>
            <w:pPr>
              <w:spacing w:after="0"/>
              <w:rPr>
                <w:sz w:val="11"/>
                <w:szCs w:val="11"/>
                <w:color w:val="auto"/>
              </w:rPr>
            </w:pPr>
          </w:p>
        </w:tc>
      </w:tr>
      <w:tr>
        <w:trPr>
          <w:trHeight w:val="126"/>
        </w:trPr>
        <w:tc>
          <w:tcPr>
            <w:tcW w:w="3280" w:type="dxa"/>
            <w:vAlign w:val="bottom"/>
          </w:tcPr>
          <w:p>
            <w:pPr>
              <w:spacing w:after="0"/>
              <w:rPr>
                <w:sz w:val="10"/>
                <w:szCs w:val="10"/>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w:t>
            </w:r>
          </w:p>
        </w:tc>
        <w:tc>
          <w:tcPr>
            <w:tcW w:w="3260" w:type="dxa"/>
            <w:vAlign w:val="bottom"/>
          </w:tcPr>
          <w:p>
            <w:pPr>
              <w:spacing w:after="0"/>
              <w:rPr>
                <w:sz w:val="10"/>
                <w:szCs w:val="10"/>
                <w:color w:val="auto"/>
              </w:rPr>
            </w:pPr>
          </w:p>
        </w:tc>
      </w:tr>
      <w:tr>
        <w:trPr>
          <w:trHeight w:val="148"/>
        </w:trPr>
        <w:tc>
          <w:tcPr>
            <w:tcW w:w="3280" w:type="dxa"/>
            <w:vAlign w:val="bottom"/>
          </w:tcPr>
          <w:p>
            <w:pPr>
              <w:spacing w:after="0"/>
              <w:rPr>
                <w:sz w:val="12"/>
                <w:szCs w:val="12"/>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Area Code, of Agent for Service)</w:t>
            </w:r>
          </w:p>
        </w:tc>
        <w:tc>
          <w:tcPr>
            <w:tcW w:w="3260" w:type="dxa"/>
            <w:vAlign w:val="bottom"/>
          </w:tcPr>
          <w:p>
            <w:pPr>
              <w:spacing w:after="0"/>
              <w:rPr>
                <w:sz w:val="12"/>
                <w:szCs w:val="12"/>
                <w:color w:val="auto"/>
              </w:rPr>
            </w:pPr>
          </w:p>
        </w:tc>
      </w:tr>
      <w:tr>
        <w:trPr>
          <w:trHeight w:val="240"/>
        </w:trPr>
        <w:tc>
          <w:tcPr>
            <w:tcW w:w="328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r>
      <w:tr>
        <w:trPr>
          <w:trHeight w:val="224"/>
        </w:trPr>
        <w:tc>
          <w:tcPr>
            <w:tcW w:w="3280" w:type="dxa"/>
            <w:vAlign w:val="bottom"/>
          </w:tcPr>
          <w:p>
            <w:pPr>
              <w:spacing w:after="0"/>
              <w:rPr>
                <w:sz w:val="19"/>
                <w:szCs w:val="19"/>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Copies to:</w:t>
            </w:r>
          </w:p>
        </w:tc>
        <w:tc>
          <w:tcPr>
            <w:tcW w:w="3260" w:type="dxa"/>
            <w:vAlign w:val="bottom"/>
          </w:tcPr>
          <w:p>
            <w:pPr>
              <w:spacing w:after="0"/>
              <w:rPr>
                <w:sz w:val="19"/>
                <w:szCs w:val="19"/>
                <w:color w:val="auto"/>
              </w:rPr>
            </w:pPr>
          </w:p>
        </w:tc>
      </w:tr>
      <w:tr>
        <w:trPr>
          <w:trHeight w:val="159"/>
        </w:trPr>
        <w:tc>
          <w:tcPr>
            <w:tcW w:w="3280" w:type="dxa"/>
            <w:vAlign w:val="bottom"/>
          </w:tcPr>
          <w:p>
            <w:pPr>
              <w:jc w:val="center"/>
              <w:ind w:left="444"/>
              <w:spacing w:after="0"/>
              <w:rPr>
                <w:sz w:val="20"/>
                <w:szCs w:val="20"/>
                <w:color w:val="auto"/>
              </w:rPr>
            </w:pPr>
            <w:r>
              <w:rPr>
                <w:rFonts w:ascii="Times New Roman" w:cs="Times New Roman" w:eastAsia="Times New Roman" w:hAnsi="Times New Roman"/>
                <w:sz w:val="11"/>
                <w:szCs w:val="11"/>
                <w:color w:val="auto"/>
              </w:rPr>
              <w:t>Micheal J. Reagan</w:t>
            </w: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Ben Craven</w:t>
            </w:r>
          </w:p>
        </w:tc>
        <w:tc>
          <w:tcPr>
            <w:tcW w:w="3260" w:type="dxa"/>
            <w:vAlign w:val="bottom"/>
          </w:tcPr>
          <w:p>
            <w:pPr>
              <w:jc w:val="center"/>
              <w:ind w:right="424"/>
              <w:spacing w:after="0"/>
              <w:rPr>
                <w:sz w:val="20"/>
                <w:szCs w:val="20"/>
                <w:color w:val="auto"/>
              </w:rPr>
            </w:pPr>
            <w:r>
              <w:rPr>
                <w:rFonts w:ascii="Times New Roman" w:cs="Times New Roman" w:eastAsia="Times New Roman" w:hAnsi="Times New Roman"/>
                <w:sz w:val="11"/>
                <w:szCs w:val="11"/>
                <w:color w:val="auto"/>
                <w:w w:val="99"/>
              </w:rPr>
              <w:t>Tad J. Freese</w:t>
            </w:r>
          </w:p>
        </w:tc>
      </w:tr>
      <w:tr>
        <w:trPr>
          <w:trHeight w:val="137"/>
        </w:trPr>
        <w:tc>
          <w:tcPr>
            <w:tcW w:w="3280" w:type="dxa"/>
            <w:vAlign w:val="bottom"/>
          </w:tcPr>
          <w:p>
            <w:pPr>
              <w:jc w:val="center"/>
              <w:ind w:left="424"/>
              <w:spacing w:after="0"/>
              <w:rPr>
                <w:sz w:val="20"/>
                <w:szCs w:val="20"/>
                <w:color w:val="auto"/>
              </w:rPr>
            </w:pPr>
            <w:r>
              <w:rPr>
                <w:rFonts w:ascii="Times New Roman" w:cs="Times New Roman" w:eastAsia="Times New Roman" w:hAnsi="Times New Roman"/>
                <w:sz w:val="11"/>
                <w:szCs w:val="11"/>
                <w:color w:val="auto"/>
              </w:rPr>
              <w:t>W. Stuart Ogg</w:t>
            </w: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General Counsel</w:t>
            </w:r>
          </w:p>
        </w:tc>
        <w:tc>
          <w:tcPr>
            <w:tcW w:w="3260" w:type="dxa"/>
            <w:vAlign w:val="bottom"/>
          </w:tcPr>
          <w:p>
            <w:pPr>
              <w:jc w:val="center"/>
              <w:ind w:right="424"/>
              <w:spacing w:after="0"/>
              <w:rPr>
                <w:sz w:val="20"/>
                <w:szCs w:val="20"/>
                <w:color w:val="auto"/>
              </w:rPr>
            </w:pPr>
            <w:r>
              <w:rPr>
                <w:rFonts w:ascii="Times New Roman" w:cs="Times New Roman" w:eastAsia="Times New Roman" w:hAnsi="Times New Roman"/>
                <w:sz w:val="11"/>
                <w:szCs w:val="11"/>
                <w:color w:val="auto"/>
              </w:rPr>
              <w:t>Marc D. Jaffe</w:t>
            </w:r>
          </w:p>
        </w:tc>
      </w:tr>
      <w:tr>
        <w:trPr>
          <w:trHeight w:val="137"/>
        </w:trPr>
        <w:tc>
          <w:tcPr>
            <w:tcW w:w="3280" w:type="dxa"/>
            <w:vAlign w:val="bottom"/>
          </w:tcPr>
          <w:p>
            <w:pPr>
              <w:jc w:val="center"/>
              <w:ind w:left="444"/>
              <w:spacing w:after="0"/>
              <w:rPr>
                <w:sz w:val="20"/>
                <w:szCs w:val="20"/>
                <w:color w:val="auto"/>
              </w:rPr>
            </w:pPr>
            <w:r>
              <w:rPr>
                <w:rFonts w:ascii="Times New Roman" w:cs="Times New Roman" w:eastAsia="Times New Roman" w:hAnsi="Times New Roman"/>
                <w:sz w:val="11"/>
                <w:szCs w:val="11"/>
                <w:color w:val="auto"/>
              </w:rPr>
              <w:t>Julia R. White</w:t>
            </w: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Pattern Group Inc.</w:t>
            </w:r>
          </w:p>
        </w:tc>
        <w:tc>
          <w:tcPr>
            <w:tcW w:w="3260" w:type="dxa"/>
            <w:vAlign w:val="bottom"/>
          </w:tcPr>
          <w:p>
            <w:pPr>
              <w:jc w:val="center"/>
              <w:ind w:right="424"/>
              <w:spacing w:after="0"/>
              <w:rPr>
                <w:sz w:val="20"/>
                <w:szCs w:val="20"/>
                <w:color w:val="auto"/>
              </w:rPr>
            </w:pPr>
            <w:r>
              <w:rPr>
                <w:rFonts w:ascii="Times New Roman" w:cs="Times New Roman" w:eastAsia="Times New Roman" w:hAnsi="Times New Roman"/>
                <w:sz w:val="11"/>
                <w:szCs w:val="11"/>
                <w:color w:val="auto"/>
              </w:rPr>
              <w:t>Brent T. Epstein</w:t>
            </w:r>
          </w:p>
        </w:tc>
      </w:tr>
      <w:tr>
        <w:trPr>
          <w:trHeight w:val="137"/>
        </w:trPr>
        <w:tc>
          <w:tcPr>
            <w:tcW w:w="3280" w:type="dxa"/>
            <w:vAlign w:val="bottom"/>
          </w:tcPr>
          <w:p>
            <w:pPr>
              <w:jc w:val="center"/>
              <w:ind w:left="424"/>
              <w:spacing w:after="0"/>
              <w:rPr>
                <w:sz w:val="20"/>
                <w:szCs w:val="20"/>
                <w:color w:val="auto"/>
              </w:rPr>
            </w:pPr>
            <w:r>
              <w:rPr>
                <w:rFonts w:ascii="Times New Roman" w:cs="Times New Roman" w:eastAsia="Times New Roman" w:hAnsi="Times New Roman"/>
                <w:sz w:val="11"/>
                <w:szCs w:val="11"/>
                <w:color w:val="auto"/>
              </w:rPr>
              <w:t>Goodwin Procter LLP</w:t>
            </w: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1441 West Innovation Way, Suite 500</w:t>
            </w:r>
          </w:p>
        </w:tc>
        <w:tc>
          <w:tcPr>
            <w:tcW w:w="3260" w:type="dxa"/>
            <w:vAlign w:val="bottom"/>
          </w:tcPr>
          <w:p>
            <w:pPr>
              <w:jc w:val="center"/>
              <w:ind w:right="444"/>
              <w:spacing w:after="0"/>
              <w:rPr>
                <w:sz w:val="20"/>
                <w:szCs w:val="20"/>
                <w:color w:val="auto"/>
              </w:rPr>
            </w:pPr>
            <w:r>
              <w:rPr>
                <w:rFonts w:ascii="Times New Roman" w:cs="Times New Roman" w:eastAsia="Times New Roman" w:hAnsi="Times New Roman"/>
                <w:sz w:val="11"/>
                <w:szCs w:val="11"/>
                <w:color w:val="auto"/>
              </w:rPr>
              <w:t>Latham &amp; Watkins LLP</w:t>
            </w:r>
          </w:p>
        </w:tc>
      </w:tr>
      <w:tr>
        <w:trPr>
          <w:trHeight w:val="137"/>
        </w:trPr>
        <w:tc>
          <w:tcPr>
            <w:tcW w:w="3280" w:type="dxa"/>
            <w:vAlign w:val="bottom"/>
          </w:tcPr>
          <w:p>
            <w:pPr>
              <w:jc w:val="center"/>
              <w:ind w:left="424"/>
              <w:spacing w:after="0"/>
              <w:rPr>
                <w:sz w:val="20"/>
                <w:szCs w:val="20"/>
                <w:color w:val="auto"/>
              </w:rPr>
            </w:pPr>
            <w:r>
              <w:rPr>
                <w:rFonts w:ascii="Times New Roman" w:cs="Times New Roman" w:eastAsia="Times New Roman" w:hAnsi="Times New Roman"/>
                <w:sz w:val="11"/>
                <w:szCs w:val="11"/>
                <w:color w:val="auto"/>
              </w:rPr>
              <w:t>601 Marshall Street</w:t>
            </w: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Lehi, UT 84043</w:t>
            </w:r>
          </w:p>
        </w:tc>
        <w:tc>
          <w:tcPr>
            <w:tcW w:w="3260" w:type="dxa"/>
            <w:vAlign w:val="bottom"/>
          </w:tcPr>
          <w:p>
            <w:pPr>
              <w:jc w:val="center"/>
              <w:ind w:right="424"/>
              <w:spacing w:after="0"/>
              <w:rPr>
                <w:sz w:val="20"/>
                <w:szCs w:val="20"/>
                <w:color w:val="auto"/>
              </w:rPr>
            </w:pPr>
            <w:r>
              <w:rPr>
                <w:rFonts w:ascii="Times New Roman" w:cs="Times New Roman" w:eastAsia="Times New Roman" w:hAnsi="Times New Roman"/>
                <w:sz w:val="11"/>
                <w:szCs w:val="11"/>
                <w:color w:val="auto"/>
              </w:rPr>
              <w:t>801 Jefferson Avenue, Suite 300</w:t>
            </w:r>
          </w:p>
        </w:tc>
      </w:tr>
      <w:tr>
        <w:trPr>
          <w:trHeight w:val="126"/>
        </w:trPr>
        <w:tc>
          <w:tcPr>
            <w:tcW w:w="3280" w:type="dxa"/>
            <w:vAlign w:val="bottom"/>
          </w:tcPr>
          <w:p>
            <w:pPr>
              <w:jc w:val="center"/>
              <w:ind w:left="444"/>
              <w:spacing w:after="0"/>
              <w:rPr>
                <w:sz w:val="20"/>
                <w:szCs w:val="20"/>
                <w:color w:val="auto"/>
              </w:rPr>
            </w:pPr>
            <w:r>
              <w:rPr>
                <w:rFonts w:ascii="Times New Roman" w:cs="Times New Roman" w:eastAsia="Times New Roman" w:hAnsi="Times New Roman"/>
                <w:sz w:val="11"/>
                <w:szCs w:val="11"/>
                <w:color w:val="auto"/>
              </w:rPr>
              <w:t>Redwood City, California 94063</w:t>
            </w:r>
          </w:p>
        </w:tc>
        <w:tc>
          <w:tcPr>
            <w:tcW w:w="47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(866) 765-1355</w:t>
            </w:r>
          </w:p>
        </w:tc>
        <w:tc>
          <w:tcPr>
            <w:tcW w:w="3260" w:type="dxa"/>
            <w:vAlign w:val="bottom"/>
          </w:tcPr>
          <w:p>
            <w:pPr>
              <w:jc w:val="center"/>
              <w:ind w:right="424"/>
              <w:spacing w:after="0"/>
              <w:rPr>
                <w:sz w:val="20"/>
                <w:szCs w:val="20"/>
                <w:color w:val="auto"/>
              </w:rPr>
            </w:pPr>
            <w:r>
              <w:rPr>
                <w:rFonts w:ascii="Times New Roman" w:cs="Times New Roman" w:eastAsia="Times New Roman" w:hAnsi="Times New Roman"/>
                <w:sz w:val="11"/>
                <w:szCs w:val="11"/>
                <w:color w:val="auto"/>
              </w:rPr>
              <w:t>Redwood City, California 94063</w:t>
            </w:r>
          </w:p>
        </w:tc>
      </w:tr>
      <w:tr>
        <w:trPr>
          <w:trHeight w:val="146"/>
        </w:trPr>
        <w:tc>
          <w:tcPr>
            <w:tcW w:w="3280" w:type="dxa"/>
            <w:vAlign w:val="bottom"/>
          </w:tcPr>
          <w:p>
            <w:pPr>
              <w:jc w:val="center"/>
              <w:ind w:left="444"/>
              <w:spacing w:after="0"/>
              <w:rPr>
                <w:sz w:val="20"/>
                <w:szCs w:val="20"/>
                <w:color w:val="auto"/>
              </w:rPr>
            </w:pPr>
            <w:r>
              <w:rPr>
                <w:rFonts w:ascii="Times New Roman" w:cs="Times New Roman" w:eastAsia="Times New Roman" w:hAnsi="Times New Roman"/>
                <w:sz w:val="11"/>
                <w:szCs w:val="11"/>
                <w:color w:val="auto"/>
              </w:rPr>
              <w:t>(650) 752-3100</w:t>
            </w:r>
          </w:p>
        </w:tc>
        <w:tc>
          <w:tcPr>
            <w:tcW w:w="4740" w:type="dxa"/>
            <w:vAlign w:val="bottom"/>
          </w:tcPr>
          <w:p>
            <w:pPr>
              <w:spacing w:after="0"/>
              <w:rPr>
                <w:sz w:val="12"/>
                <w:szCs w:val="12"/>
                <w:color w:val="auto"/>
              </w:rPr>
            </w:pPr>
          </w:p>
        </w:tc>
        <w:tc>
          <w:tcPr>
            <w:tcW w:w="3260" w:type="dxa"/>
            <w:vAlign w:val="bottom"/>
          </w:tcPr>
          <w:p>
            <w:pPr>
              <w:jc w:val="center"/>
              <w:ind w:right="424"/>
              <w:spacing w:after="0"/>
              <w:rPr>
                <w:sz w:val="20"/>
                <w:szCs w:val="20"/>
                <w:color w:val="auto"/>
              </w:rPr>
            </w:pPr>
            <w:r>
              <w:rPr>
                <w:rFonts w:ascii="Times New Roman" w:cs="Times New Roman" w:eastAsia="Times New Roman" w:hAnsi="Times New Roman"/>
                <w:sz w:val="11"/>
                <w:szCs w:val="11"/>
                <w:color w:val="auto"/>
              </w:rPr>
              <w:t>(650) 328-4600</w:t>
            </w:r>
          </w:p>
        </w:tc>
      </w:tr>
    </w:tbl>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Approximate date of commencement of proposed sale to the public: As soon as practicable after this registration statement becomes effective.</w:t>
      </w:r>
    </w:p>
    <w:p>
      <w:pPr>
        <w:spacing w:after="0" w:line="19"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1"/>
          <w:szCs w:val="11"/>
          <w:color w:val="auto"/>
        </w:rPr>
        <w:t>☐</w:t>
      </w:r>
    </w:p>
    <w:p>
      <w:pPr>
        <w:spacing w:after="0" w:line="24" w:lineRule="exact"/>
        <w:rPr>
          <w:sz w:val="24"/>
          <w:szCs w:val="24"/>
          <w:color w:val="auto"/>
        </w:rPr>
      </w:pPr>
    </w:p>
    <w:p>
      <w:pPr>
        <w:ind w:right="100"/>
        <w:spacing w:after="0" w:line="140"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 w:lineRule="exact"/>
        <w:rPr>
          <w:sz w:val="24"/>
          <w:szCs w:val="24"/>
          <w:color w:val="auto"/>
        </w:rPr>
      </w:pPr>
    </w:p>
    <w:p>
      <w:pPr>
        <w:ind w:right="100"/>
        <w:spacing w:after="0" w:line="140"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20" w:type="dxa"/>
        <w:tblCellMar>
          <w:top w:w="0" w:type="dxa"/>
          <w:left w:w="0" w:type="dxa"/>
          <w:bottom w:w="0" w:type="dxa"/>
          <w:right w:w="0" w:type="dxa"/>
        </w:tblCellMar>
      </w:tblPr>
      <w:tr>
        <w:trPr>
          <w:trHeight w:val="158"/>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1920" w:type="dxa"/>
            <w:vAlign w:val="bottom"/>
          </w:tcPr>
          <w:p>
            <w:pPr>
              <w:ind w:left="1580"/>
              <w:spacing w:after="0" w:line="111" w:lineRule="exact"/>
              <w:rPr>
                <w:sz w:val="20"/>
                <w:szCs w:val="20"/>
                <w:color w:val="auto"/>
              </w:rPr>
            </w:pPr>
            <w:r>
              <w:rPr>
                <w:rFonts w:ascii="MS PGothic" w:cs="MS PGothic" w:eastAsia="MS PGothic" w:hAnsi="MS PGothic"/>
                <w:sz w:val="11"/>
                <w:szCs w:val="11"/>
                <w:color w:val="auto"/>
              </w:rPr>
              <w:t>☐</w:t>
            </w:r>
          </w:p>
        </w:tc>
        <w:tc>
          <w:tcPr>
            <w:tcW w:w="33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Accelerated filer</w:t>
            </w:r>
          </w:p>
        </w:tc>
        <w:tc>
          <w:tcPr>
            <w:tcW w:w="2000" w:type="dxa"/>
            <w:vAlign w:val="bottom"/>
          </w:tcPr>
          <w:p>
            <w:pPr>
              <w:ind w:left="19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8"/>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1920" w:type="dxa"/>
            <w:vAlign w:val="bottom"/>
          </w:tcPr>
          <w:p>
            <w:pPr>
              <w:ind w:left="1580"/>
              <w:spacing w:after="0" w:line="111" w:lineRule="exact"/>
              <w:rPr>
                <w:sz w:val="20"/>
                <w:szCs w:val="20"/>
                <w:color w:val="auto"/>
              </w:rPr>
            </w:pPr>
            <w:r>
              <w:rPr>
                <w:rFonts w:ascii="MS PGothic" w:cs="MS PGothic" w:eastAsia="MS PGothic" w:hAnsi="MS PGothic"/>
                <w:sz w:val="11"/>
                <w:szCs w:val="11"/>
                <w:color w:val="auto"/>
              </w:rPr>
              <w:t>☒</w:t>
            </w:r>
          </w:p>
        </w:tc>
        <w:tc>
          <w:tcPr>
            <w:tcW w:w="33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2000" w:type="dxa"/>
            <w:vAlign w:val="bottom"/>
          </w:tcPr>
          <w:p>
            <w:pPr>
              <w:ind w:left="19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8"/>
        </w:trPr>
        <w:tc>
          <w:tcPr>
            <w:tcW w:w="25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3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Emerging growth company</w:t>
            </w:r>
          </w:p>
        </w:tc>
        <w:tc>
          <w:tcPr>
            <w:tcW w:w="2000" w:type="dxa"/>
            <w:vAlign w:val="bottom"/>
          </w:tcPr>
          <w:p>
            <w:pPr>
              <w:ind w:left="19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2"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1"/>
          <w:szCs w:val="11"/>
          <w:color w:val="auto"/>
        </w:rPr>
        <w:t>☐</w:t>
      </w:r>
    </w:p>
    <w:p>
      <w:pPr>
        <w:spacing w:after="0" w:line="77" w:lineRule="exact"/>
        <w:rPr>
          <w:sz w:val="24"/>
          <w:szCs w:val="24"/>
          <w:color w:val="auto"/>
        </w:rPr>
      </w:pPr>
    </w:p>
    <w:p>
      <w:pPr>
        <w:jc w:val="both"/>
        <w:ind w:right="220"/>
        <w:spacing w:after="0" w:line="279"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838" w:orient="portrait"/>
          <w:cols w:equalWidth="0" w:num="1">
            <w:col w:w="11280"/>
          </w:cols>
          <w:pgMar w:left="300" w:top="394" w:right="319" w:bottom="1440" w:gutter="0" w:footer="0" w:header="0"/>
        </w:sectPr>
      </w:pPr>
    </w:p>
    <w:bookmarkStart w:id="1" w:name="page2"/>
    <w:bookmarkEnd w:id="1"/>
    <w:p>
      <w:pPr>
        <w:ind w:right="360"/>
        <w:spacing w:after="0" w:line="268" w:lineRule="auto"/>
        <w:rPr>
          <w:sz w:val="20"/>
          <w:szCs w:val="20"/>
          <w:color w:val="auto"/>
        </w:rPr>
      </w:pPr>
      <w:r>
        <w:rPr>
          <w:rFonts w:ascii="Times New Roman" w:cs="Times New Roman" w:eastAsia="Times New Roman" w:hAnsi="Times New Roman"/>
          <w:sz w:val="14"/>
          <w:szCs w:val="14"/>
          <w:b w:val="1"/>
          <w:bCs w:val="1"/>
          <w:color w:val="F1665F"/>
        </w:rPr>
        <w:t>The information in this preliminary prospectus is not complete and may be changed. These securities may not be sold until the registration statement filed with the U.S. Securities and Exchange Commission is effective. This preliminary prospectus is not an offer to sell, nor does it seek an offer to buy these securities in any jurisdiction where the offer or sale is not permitted.</w:t>
      </w:r>
    </w:p>
    <w:p>
      <w:pPr>
        <w:spacing w:after="0" w:line="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F1665F"/>
        </w:rPr>
        <w:t>Subject to Completion, dated June 15, 2026.</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8,000,000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147320</wp:posOffset>
            </wp:positionV>
            <wp:extent cx="1122680" cy="220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2680" cy="22034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Pattern Group Inc.</w:t>
      </w:r>
    </w:p>
    <w:p>
      <w:pPr>
        <w:spacing w:after="0" w:line="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Series A Common Stock</w:t>
      </w:r>
    </w:p>
    <w:p>
      <w:pPr>
        <w:spacing w:after="0" w:line="164"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4"/>
          <w:szCs w:val="14"/>
          <w:color w:val="auto"/>
        </w:rPr>
        <w:t>The selling stockholder named in this prospectus, an entity affiliated with a member of our board of directors, is offering 8,000,000 shares of our Series A common stock. We are not selling any shares of Series A common stock under this prospectus and will not receive any proceeds from the sale of shares of our Series A common stock by the selling stockholder.</w:t>
      </w:r>
    </w:p>
    <w:p>
      <w:pPr>
        <w:spacing w:after="0" w:line="125"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4"/>
          <w:szCs w:val="14"/>
          <w:color w:val="auto"/>
        </w:rPr>
        <w:t>Our shares of Series A common stock are listed on the Nasdaq Global Select Market (“Nasdaq”) under the trading symbol “PTRN.” On June 12, 2026, the closing sales price of our shares of Series A common stock as reported on Nasdaq was $20.96 per share. See “Selling Stockholder.”</w:t>
      </w:r>
    </w:p>
    <w:p>
      <w:pPr>
        <w:spacing w:after="0" w:line="125"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4"/>
          <w:szCs w:val="14"/>
          <w:color w:val="auto"/>
        </w:rPr>
        <w:t>We are a “controlled company” under the corporate governance requirements of Nasdaq and have elected not to comply with certain corporate governance standards. See the documents that are incorporated by reference into this prospectus for further information.</w:t>
      </w:r>
    </w:p>
    <w:p>
      <w:pPr>
        <w:spacing w:after="0" w:line="12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4"/>
          <w:szCs w:val="14"/>
          <w:b w:val="1"/>
          <w:bCs w:val="1"/>
          <w:color w:val="auto"/>
        </w:rPr>
        <w:t>Investing in shares of our Series A common stock involves risks. See the section titled “</w:t>
      </w:r>
      <w:r>
        <w:rPr>
          <w:rFonts w:ascii="Times New Roman" w:cs="Times New Roman" w:eastAsia="Times New Roman" w:hAnsi="Times New Roman"/>
          <w:sz w:val="14"/>
          <w:szCs w:val="14"/>
          <w:b w:val="1"/>
          <w:bCs w:val="1"/>
          <w:u w:val="single" w:color="auto"/>
          <w:color w:val="0000FF"/>
        </w:rPr>
        <w:t>Risk Factors</w:t>
      </w:r>
      <w:r>
        <w:rPr>
          <w:rFonts w:ascii="Times New Roman" w:cs="Times New Roman" w:eastAsia="Times New Roman" w:hAnsi="Times New Roman"/>
          <w:sz w:val="14"/>
          <w:szCs w:val="14"/>
          <w:b w:val="1"/>
          <w:bCs w:val="1"/>
          <w:color w:val="auto"/>
        </w:rPr>
        <w:t xml:space="preserve">” beginning on page </w:t>
      </w:r>
      <w:r>
        <w:rPr>
          <w:rFonts w:ascii="Times New Roman" w:cs="Times New Roman" w:eastAsia="Times New Roman" w:hAnsi="Times New Roman"/>
          <w:sz w:val="14"/>
          <w:szCs w:val="14"/>
          <w:b w:val="1"/>
          <w:bCs w:val="1"/>
          <w:u w:val="single" w:color="auto"/>
          <w:color w:val="0000FF"/>
        </w:rPr>
        <w:t>5</w:t>
      </w:r>
      <w:r>
        <w:rPr>
          <w:rFonts w:ascii="Times New Roman" w:cs="Times New Roman" w:eastAsia="Times New Roman" w:hAnsi="Times New Roman"/>
          <w:sz w:val="14"/>
          <w:szCs w:val="14"/>
          <w:b w:val="1"/>
          <w:bCs w:val="1"/>
          <w:color w:val="auto"/>
        </w:rPr>
        <w:t xml:space="preserve"> and under similar headings in the other documents that are incorporated by reference into this prospectus to read about factors you should consider before buying our Series A common stock.</w:t>
      </w:r>
    </w:p>
    <w:p>
      <w:pPr>
        <w:spacing w:after="0" w:line="123"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4"/>
          <w:szCs w:val="14"/>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920" w:type="dxa"/>
            <w:vAlign w:val="bottom"/>
          </w:tcPr>
          <w:p>
            <w:pPr>
              <w:spacing w:after="0"/>
              <w:rPr>
                <w:sz w:val="13"/>
                <w:szCs w:val="13"/>
                <w:color w:val="auto"/>
              </w:rPr>
            </w:pPr>
          </w:p>
        </w:tc>
        <w:tc>
          <w:tcPr>
            <w:tcW w:w="1500" w:type="dxa"/>
            <w:vAlign w:val="bottom"/>
            <w:gridSpan w:val="2"/>
          </w:tcPr>
          <w:p>
            <w:pPr>
              <w:ind w:left="46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1400" w:type="dxa"/>
            <w:vAlign w:val="bottom"/>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5"/>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Public offering price</w:t>
            </w:r>
          </w:p>
        </w:tc>
        <w:tc>
          <w:tcPr>
            <w:tcW w:w="1400" w:type="dxa"/>
            <w:vAlign w:val="bottom"/>
            <w:tcBorders>
              <w:top w:val="single" w:sz="8" w:color="auto"/>
            </w:tcBorders>
          </w:tcPr>
          <w:p>
            <w:pPr>
              <w:jc w:val="right"/>
              <w:ind w:right="123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0" w:type="dxa"/>
            <w:vAlign w:val="bottom"/>
            <w:tcBorders>
              <w:top w:val="single" w:sz="8" w:color="auto"/>
            </w:tcBorders>
          </w:tcPr>
          <w:p>
            <w:pPr>
              <w:jc w:val="right"/>
              <w:ind w:right="1253"/>
              <w:spacing w:after="0"/>
              <w:rPr>
                <w:sz w:val="20"/>
                <w:szCs w:val="20"/>
                <w:color w:val="auto"/>
              </w:rPr>
            </w:pPr>
            <w:r>
              <w:rPr>
                <w:rFonts w:ascii="Times New Roman" w:cs="Times New Roman" w:eastAsia="Times New Roman" w:hAnsi="Times New Roman"/>
                <w:sz w:val="14"/>
                <w:szCs w:val="14"/>
                <w:color w:val="auto"/>
                <w:w w:val="85"/>
              </w:rPr>
              <w:t>$</w:t>
            </w:r>
          </w:p>
        </w:tc>
      </w:tr>
      <w:tr>
        <w:trPr>
          <w:trHeight w:val="179"/>
        </w:trPr>
        <w:tc>
          <w:tcPr>
            <w:tcW w:w="7920" w:type="dxa"/>
            <w:vAlign w:val="bottom"/>
          </w:tcPr>
          <w:p>
            <w:pPr>
              <w:ind w:left="20"/>
              <w:spacing w:after="0" w:line="179" w:lineRule="exact"/>
              <w:rPr>
                <w:sz w:val="20"/>
                <w:szCs w:val="20"/>
                <w:color w:val="auto"/>
              </w:rPr>
            </w:pPr>
            <w:r>
              <w:rPr>
                <w:rFonts w:ascii="Times New Roman" w:cs="Times New Roman" w:eastAsia="Times New Roman" w:hAnsi="Times New Roman"/>
                <w:sz w:val="14"/>
                <w:szCs w:val="14"/>
                <w:color w:val="auto"/>
              </w:rPr>
              <w:t>Underwriting discounts and commissions</w:t>
            </w:r>
            <w:r>
              <w:rPr>
                <w:rFonts w:ascii="Times New Roman" w:cs="Times New Roman" w:eastAsia="Times New Roman" w:hAnsi="Times New Roman"/>
                <w:sz w:val="18"/>
                <w:szCs w:val="18"/>
                <w:color w:val="auto"/>
                <w:vertAlign w:val="superscript"/>
              </w:rPr>
              <w:t>(1)</w:t>
            </w:r>
          </w:p>
        </w:tc>
        <w:tc>
          <w:tcPr>
            <w:tcW w:w="1400" w:type="dxa"/>
            <w:vAlign w:val="bottom"/>
          </w:tcPr>
          <w:p>
            <w:pPr>
              <w:jc w:val="right"/>
              <w:ind w:right="123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0" w:type="dxa"/>
            <w:vAlign w:val="bottom"/>
          </w:tcPr>
          <w:p>
            <w:pPr>
              <w:jc w:val="right"/>
              <w:ind w:right="1253"/>
              <w:spacing w:after="0"/>
              <w:rPr>
                <w:sz w:val="20"/>
                <w:szCs w:val="20"/>
                <w:color w:val="auto"/>
              </w:rPr>
            </w:pPr>
            <w:r>
              <w:rPr>
                <w:rFonts w:ascii="Times New Roman" w:cs="Times New Roman" w:eastAsia="Times New Roman" w:hAnsi="Times New Roman"/>
                <w:sz w:val="14"/>
                <w:szCs w:val="14"/>
                <w:color w:val="auto"/>
                <w:w w:val="85"/>
              </w:rPr>
              <w:t>$</w:t>
            </w:r>
          </w:p>
        </w:tc>
      </w:tr>
      <w:tr>
        <w:trPr>
          <w:trHeight w:val="183"/>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before expenses, to the selling stockholder</w:t>
            </w:r>
          </w:p>
        </w:tc>
        <w:tc>
          <w:tcPr>
            <w:tcW w:w="1400" w:type="dxa"/>
            <w:vAlign w:val="bottom"/>
          </w:tcPr>
          <w:p>
            <w:pPr>
              <w:jc w:val="right"/>
              <w:ind w:right="123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0" w:type="dxa"/>
            <w:vAlign w:val="bottom"/>
          </w:tcPr>
          <w:p>
            <w:pPr>
              <w:jc w:val="right"/>
              <w:ind w:right="1253"/>
              <w:spacing w:after="0"/>
              <w:rPr>
                <w:sz w:val="20"/>
                <w:szCs w:val="20"/>
                <w:color w:val="auto"/>
              </w:rPr>
            </w:pPr>
            <w:r>
              <w:rPr>
                <w:rFonts w:ascii="Times New Roman" w:cs="Times New Roman" w:eastAsia="Times New Roman" w:hAnsi="Times New Roman"/>
                <w:sz w:val="14"/>
                <w:szCs w:val="14"/>
                <w:color w:val="auto"/>
                <w:w w:val="85"/>
              </w:rPr>
              <w:t>$</w:t>
            </w:r>
          </w:p>
        </w:tc>
      </w:tr>
      <w:tr>
        <w:trPr>
          <w:trHeight w:val="226"/>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bl>
    <w:p>
      <w:pPr>
        <w:ind w:left="260" w:hanging="256"/>
        <w:spacing w:after="0"/>
        <w:tabs>
          <w:tab w:leader="none" w:pos="26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the section titled “Underwriting” for additional information regarding compensation payable to the underwriters.</w:t>
      </w:r>
    </w:p>
    <w:p>
      <w:pPr>
        <w:spacing w:after="0" w:line="159"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4"/>
          <w:szCs w:val="14"/>
          <w:color w:val="auto"/>
        </w:rPr>
        <w:t>The underwriters have the option to purchase up to an additional 1,200,000 shares of Series A common stock from the selling stockholder at the public offering price less underwriting discounts and commissions within 30 days from the date of this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The underwriters expect to deliver the shares of our Series A common stock against payment in New York, New York on or about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2026.</w:t>
            </w:r>
          </w:p>
        </w:tc>
      </w:tr>
    </w:tbl>
    <w:p>
      <w:pPr>
        <w:spacing w:after="0" w:line="159" w:lineRule="exact"/>
        <w:rPr>
          <w:sz w:val="20"/>
          <w:szCs w:val="20"/>
          <w:color w:val="auto"/>
        </w:rPr>
      </w:pPr>
    </w:p>
    <w:p>
      <w:pPr>
        <w:sectPr>
          <w:pgSz w:w="11900" w:h="16838" w:orient="portrait"/>
          <w:cols w:equalWidth="0" w:num="1">
            <w:col w:w="11240"/>
          </w:cols>
          <w:pgMar w:left="300" w:top="733" w:right="359" w:bottom="1440" w:gutter="0" w:footer="0" w:header="0"/>
        </w:sectPr>
      </w:pPr>
    </w:p>
    <w:p>
      <w:pPr>
        <w:ind w:left="20"/>
        <w:spacing w:after="0"/>
        <w:rPr>
          <w:sz w:val="20"/>
          <w:szCs w:val="20"/>
          <w:color w:val="auto"/>
        </w:rPr>
      </w:pPr>
      <w:r>
        <w:rPr>
          <w:rFonts w:ascii="Times New Roman" w:cs="Times New Roman" w:eastAsia="Times New Roman" w:hAnsi="Times New Roman"/>
          <w:sz w:val="21"/>
          <w:szCs w:val="21"/>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b w:val="1"/>
          <w:bCs w:val="1"/>
          <w:color w:val="auto"/>
        </w:rPr>
        <w:t>Goldman Sachs &amp; Co. LLC</w:t>
      </w:r>
    </w:p>
    <w:p>
      <w:pPr>
        <w:spacing w:after="0" w:line="121" w:lineRule="exact"/>
        <w:rPr>
          <w:sz w:val="20"/>
          <w:szCs w:val="20"/>
          <w:color w:val="auto"/>
        </w:rPr>
      </w:pPr>
    </w:p>
    <w:p>
      <w:pPr>
        <w:sectPr>
          <w:pgSz w:w="11900" w:h="16838" w:orient="portrait"/>
          <w:cols w:equalWidth="0" w:num="2">
            <w:col w:w="7880" w:space="720"/>
            <w:col w:w="2640"/>
          </w:cols>
          <w:pgMar w:left="300" w:top="733" w:right="359" w:bottom="1440" w:gutter="0" w:footer="0" w:header="0"/>
          <w:type w:val="continuous"/>
        </w:sectPr>
      </w:pPr>
    </w:p>
    <w:p>
      <w:pPr>
        <w:ind w:left="2360"/>
        <w:spacing w:after="0"/>
        <w:rPr>
          <w:sz w:val="20"/>
          <w:szCs w:val="20"/>
          <w:color w:val="auto"/>
        </w:rPr>
      </w:pPr>
      <w:r>
        <w:rPr>
          <w:rFonts w:ascii="Times New Roman" w:cs="Times New Roman" w:eastAsia="Times New Roman" w:hAnsi="Times New Roman"/>
          <w:sz w:val="16"/>
          <w:szCs w:val="16"/>
          <w:b w:val="1"/>
          <w:bCs w:val="1"/>
          <w:color w:val="auto"/>
        </w:rPr>
        <w:t>Evercore ISI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Jefferies</w:t>
      </w:r>
    </w:p>
    <w:p>
      <w:pPr>
        <w:spacing w:after="0" w:line="115" w:lineRule="exact"/>
        <w:rPr>
          <w:sz w:val="20"/>
          <w:szCs w:val="20"/>
          <w:color w:val="auto"/>
        </w:rPr>
      </w:pPr>
    </w:p>
    <w:p>
      <w:pPr>
        <w:sectPr>
          <w:pgSz w:w="11900" w:h="16838" w:orient="portrait"/>
          <w:cols w:equalWidth="0" w:num="2">
            <w:col w:w="7420" w:space="720"/>
            <w:col w:w="3100"/>
          </w:cols>
          <w:pgMar w:left="300" w:top="733"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1"/>
          <w:szCs w:val="11"/>
          <w:b w:val="1"/>
          <w:bCs w:val="1"/>
          <w:color w:val="auto"/>
        </w:rPr>
        <w:t>Baird</w:t>
      </w:r>
    </w:p>
    <w:p>
      <w:pPr>
        <w:spacing w:after="0" w:line="20" w:lineRule="exact"/>
        <w:rPr>
          <w:sz w:val="20"/>
          <w:szCs w:val="20"/>
          <w:color w:val="auto"/>
        </w:rPr>
      </w:pPr>
      <w:r>
        <w:rPr>
          <w:sz w:val="20"/>
          <w:szCs w:val="20"/>
          <w:color w:val="auto"/>
        </w:rPr>
        <w:br w:type="column"/>
      </w:r>
    </w:p>
    <w:p>
      <w:pPr>
        <w:jc w:val="center"/>
        <w:ind w:right="720"/>
        <w:spacing w:after="0"/>
        <w:rPr>
          <w:sz w:val="20"/>
          <w:szCs w:val="20"/>
          <w:color w:val="auto"/>
        </w:rPr>
      </w:pPr>
      <w:r>
        <w:rPr>
          <w:rFonts w:ascii="Times New Roman" w:cs="Times New Roman" w:eastAsia="Times New Roman" w:hAnsi="Times New Roman"/>
          <w:sz w:val="11"/>
          <w:szCs w:val="11"/>
          <w:b w:val="1"/>
          <w:bCs w:val="1"/>
          <w:color w:val="auto"/>
        </w:rPr>
        <w:t>BMO Capital Markets</w:t>
      </w:r>
    </w:p>
    <w:p>
      <w:pPr>
        <w:spacing w:after="0" w:line="20" w:lineRule="exact"/>
        <w:rPr>
          <w:sz w:val="20"/>
          <w:szCs w:val="20"/>
          <w:color w:val="auto"/>
        </w:rPr>
      </w:pPr>
      <w:r>
        <w:rPr>
          <w:sz w:val="20"/>
          <w:szCs w:val="20"/>
          <w:color w:val="auto"/>
        </w:rPr>
        <w:br w:type="column"/>
      </w:r>
    </w:p>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KeyBanc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Needham &amp;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Stifel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William Blair</w:t>
      </w:r>
    </w:p>
    <w:p>
      <w:pPr>
        <w:spacing w:after="0" w:line="200" w:lineRule="exact"/>
        <w:rPr>
          <w:sz w:val="20"/>
          <w:szCs w:val="20"/>
          <w:color w:val="auto"/>
        </w:rPr>
      </w:pPr>
    </w:p>
    <w:p>
      <w:pPr>
        <w:sectPr>
          <w:pgSz w:w="11900" w:h="16838" w:orient="portrait"/>
          <w:cols w:equalWidth="0" w:num="6">
            <w:col w:w="940" w:space="720"/>
            <w:col w:w="1800" w:space="720"/>
            <w:col w:w="1940" w:space="720"/>
            <w:col w:w="1500" w:space="720"/>
            <w:col w:w="800" w:space="720"/>
            <w:col w:w="660"/>
          </w:cols>
          <w:pgMar w:left="300" w:top="733" w:right="359" w:bottom="1440" w:gutter="0" w:footer="0" w:header="0"/>
          <w:type w:val="continuous"/>
        </w:sectPr>
      </w:pPr>
    </w:p>
    <w:p>
      <w:pPr>
        <w:spacing w:after="0" w:line="5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2026</w:t>
      </w:r>
    </w:p>
    <w:p>
      <w:pPr>
        <w:sectPr>
          <w:pgSz w:w="11900" w:h="16838" w:orient="portrait"/>
          <w:cols w:equalWidth="0" w:num="2">
            <w:col w:w="6060" w:space="560"/>
            <w:col w:w="4620"/>
          </w:cols>
          <w:pgMar w:left="300" w:top="733" w:right="359" w:bottom="1440" w:gutter="0" w:footer="0" w:header="0"/>
          <w:type w:val="continuous"/>
        </w:sectPr>
      </w:pPr>
    </w:p>
    <w:bookmarkStart w:id="2" w:name="page3"/>
    <w:bookmarkEnd w:id="2"/>
    <w:tbl>
      <w:tblPr>
        <w:tblLayout w:type="fixed"/>
        <w:tblInd w:w="2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1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58"/>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8"/>
        </w:trPr>
        <w:tc>
          <w:tcPr>
            <w:tcW w:w="9280" w:type="dxa"/>
            <w:vAlign w:val="bottom"/>
            <w:gridSpan w:val="13"/>
          </w:tcPr>
          <w:p>
            <w:pPr>
              <w:spacing w:after="0" w:line="158" w:lineRule="exact"/>
              <w:rPr>
                <w:sz w:val="20"/>
                <w:szCs w:val="20"/>
                <w:color w:val="auto"/>
              </w:rPr>
            </w:pPr>
            <w:r>
              <w:rPr>
                <w:rFonts w:ascii="Times New Roman" w:cs="Times New Roman" w:eastAsia="Times New Roman" w:hAnsi="Times New Roman"/>
                <w:sz w:val="14"/>
                <w:szCs w:val="14"/>
                <w:color w:val="3051F2"/>
              </w:rPr>
              <w:t>PROSPECTUS SUMMARY</w:t>
            </w:r>
          </w:p>
        </w:tc>
        <w:tc>
          <w:tcPr>
            <w:tcW w:w="198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3051F2"/>
              </w:rPr>
              <w:t>1</w:t>
            </w:r>
          </w:p>
        </w:tc>
      </w:tr>
      <w:tr>
        <w:trPr>
          <w:trHeight w:val="20"/>
        </w:trPr>
        <w:tc>
          <w:tcPr>
            <w:tcW w:w="60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righ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98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3051F2"/>
                <w:w w:val="94"/>
              </w:rPr>
              <w:t>THE OFFERING</w:t>
            </w:r>
          </w:p>
        </w:tc>
        <w:tc>
          <w:tcPr>
            <w:tcW w:w="640" w:type="dxa"/>
            <w:vAlign w:val="bottom"/>
            <w:gridSpan w:val="4"/>
          </w:tcPr>
          <w:p>
            <w:pPr>
              <w:spacing w:after="0"/>
              <w:rPr>
                <w:sz w:val="13"/>
                <w:szCs w:val="13"/>
                <w:color w:val="auto"/>
              </w:rPr>
            </w:pPr>
          </w:p>
        </w:tc>
        <w:tc>
          <w:tcPr>
            <w:tcW w:w="7660" w:type="dxa"/>
            <w:vAlign w:val="bottom"/>
            <w:gridSpan w:val="7"/>
          </w:tcPr>
          <w:p>
            <w:pPr>
              <w:spacing w:after="0"/>
              <w:rPr>
                <w:sz w:val="13"/>
                <w:szCs w:val="13"/>
                <w:color w:val="auto"/>
              </w:rPr>
            </w:pPr>
          </w:p>
        </w:tc>
        <w:tc>
          <w:tcPr>
            <w:tcW w:w="198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3051F2"/>
              </w:rPr>
              <w:t>3</w:t>
            </w:r>
          </w:p>
        </w:tc>
      </w:tr>
      <w:tr>
        <w:trPr>
          <w:trHeight w:val="20"/>
        </w:trPr>
        <w:tc>
          <w:tcPr>
            <w:tcW w:w="60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righ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98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3051F2"/>
                <w:w w:val="95"/>
              </w:rPr>
              <w:t>RISK FACTORS</w:t>
            </w:r>
          </w:p>
        </w:tc>
        <w:tc>
          <w:tcPr>
            <w:tcW w:w="8300" w:type="dxa"/>
            <w:vAlign w:val="bottom"/>
            <w:gridSpan w:val="11"/>
          </w:tcPr>
          <w:p>
            <w:pPr>
              <w:spacing w:after="0"/>
              <w:rPr>
                <w:sz w:val="13"/>
                <w:szCs w:val="13"/>
                <w:color w:val="auto"/>
              </w:rPr>
            </w:pPr>
          </w:p>
        </w:tc>
        <w:tc>
          <w:tcPr>
            <w:tcW w:w="198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3051F2"/>
              </w:rPr>
              <w:t>5</w:t>
            </w:r>
          </w:p>
        </w:tc>
      </w:tr>
      <w:tr>
        <w:trPr>
          <w:trHeight w:val="20"/>
        </w:trPr>
        <w:tc>
          <w:tcPr>
            <w:tcW w:w="60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righ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4160" w:type="dxa"/>
            <w:vAlign w:val="bottom"/>
            <w:gridSpan w:val="11"/>
          </w:tcPr>
          <w:p>
            <w:pPr>
              <w:spacing w:after="0" w:line="159" w:lineRule="exact"/>
              <w:rPr>
                <w:sz w:val="20"/>
                <w:szCs w:val="20"/>
                <w:color w:val="auto"/>
              </w:rPr>
            </w:pPr>
            <w:r>
              <w:rPr>
                <w:rFonts w:ascii="Times New Roman" w:cs="Times New Roman" w:eastAsia="Times New Roman" w:hAnsi="Times New Roman"/>
                <w:sz w:val="14"/>
                <w:szCs w:val="14"/>
                <w:color w:val="3051F2"/>
                <w:w w:val="98"/>
              </w:rPr>
              <w:t>SPECIAL NOTE REGARDING FORWARD-LOOKING STATEMENTS</w:t>
            </w:r>
          </w:p>
        </w:tc>
        <w:tc>
          <w:tcPr>
            <w:tcW w:w="5120" w:type="dxa"/>
            <w:vAlign w:val="bottom"/>
            <w:gridSpan w:val="2"/>
          </w:tcPr>
          <w:p>
            <w:pPr>
              <w:spacing w:after="0"/>
              <w:rPr>
                <w:sz w:val="13"/>
                <w:szCs w:val="13"/>
                <w:color w:val="auto"/>
              </w:rPr>
            </w:pPr>
          </w:p>
        </w:tc>
        <w:tc>
          <w:tcPr>
            <w:tcW w:w="198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3051F2"/>
              </w:rPr>
              <w:t>6</w:t>
            </w:r>
          </w:p>
        </w:tc>
      </w:tr>
      <w:tr>
        <w:trPr>
          <w:trHeight w:val="20"/>
        </w:trPr>
        <w:tc>
          <w:tcPr>
            <w:tcW w:w="600" w:type="dxa"/>
            <w:vAlign w:val="bottom"/>
            <w:shd w:val="clear" w:color="auto" w:fill="3051F2"/>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9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720" w:type="dxa"/>
            <w:vAlign w:val="bottom"/>
            <w:shd w:val="clear" w:color="auto" w:fill="3051F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righ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4160" w:type="dxa"/>
            <w:vAlign w:val="bottom"/>
            <w:gridSpan w:val="11"/>
          </w:tcPr>
          <w:p>
            <w:pPr>
              <w:spacing w:after="0" w:line="159" w:lineRule="exact"/>
              <w:rPr>
                <w:sz w:val="20"/>
                <w:szCs w:val="20"/>
                <w:color w:val="auto"/>
              </w:rPr>
            </w:pPr>
            <w:r>
              <w:rPr>
                <w:rFonts w:ascii="Times New Roman" w:cs="Times New Roman" w:eastAsia="Times New Roman" w:hAnsi="Times New Roman"/>
                <w:sz w:val="14"/>
                <w:szCs w:val="14"/>
                <w:color w:val="3051F2"/>
              </w:rPr>
              <w:t>USE OF PROCEEDS</w:t>
            </w:r>
          </w:p>
        </w:tc>
        <w:tc>
          <w:tcPr>
            <w:tcW w:w="5120" w:type="dxa"/>
            <w:vAlign w:val="bottom"/>
            <w:gridSpan w:val="2"/>
          </w:tcPr>
          <w:p>
            <w:pPr>
              <w:spacing w:after="0"/>
              <w:rPr>
                <w:sz w:val="13"/>
                <w:szCs w:val="13"/>
                <w:color w:val="auto"/>
              </w:rPr>
            </w:pPr>
          </w:p>
        </w:tc>
        <w:tc>
          <w:tcPr>
            <w:tcW w:w="198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3051F2"/>
              </w:rPr>
              <w:t>8</w:t>
            </w:r>
          </w:p>
        </w:tc>
      </w:tr>
      <w:tr>
        <w:trPr>
          <w:trHeight w:val="20"/>
        </w:trPr>
        <w:tc>
          <w:tcPr>
            <w:tcW w:w="600" w:type="dxa"/>
            <w:vAlign w:val="bottom"/>
            <w:shd w:val="clear" w:color="auto" w:fill="3051F2"/>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righ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9280" w:type="dxa"/>
            <w:vAlign w:val="bottom"/>
            <w:gridSpan w:val="13"/>
          </w:tcPr>
          <w:p>
            <w:pPr>
              <w:spacing w:after="0" w:line="159" w:lineRule="exact"/>
              <w:rPr>
                <w:sz w:val="20"/>
                <w:szCs w:val="20"/>
                <w:color w:val="auto"/>
              </w:rPr>
            </w:pPr>
            <w:r>
              <w:rPr>
                <w:rFonts w:ascii="Times New Roman" w:cs="Times New Roman" w:eastAsia="Times New Roman" w:hAnsi="Times New Roman"/>
                <w:sz w:val="14"/>
                <w:szCs w:val="14"/>
                <w:color w:val="3051F2"/>
              </w:rPr>
              <w:t>SELLING STOCKHOLDER</w:t>
            </w:r>
          </w:p>
        </w:tc>
        <w:tc>
          <w:tcPr>
            <w:tcW w:w="198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3051F2"/>
              </w:rPr>
              <w:t>9</w:t>
            </w:r>
          </w:p>
        </w:tc>
      </w:tr>
      <w:tr>
        <w:trPr>
          <w:trHeight w:val="20"/>
        </w:trPr>
        <w:tc>
          <w:tcPr>
            <w:tcW w:w="600" w:type="dxa"/>
            <w:vAlign w:val="bottom"/>
            <w:shd w:val="clear" w:color="auto" w:fill="3051F2"/>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500" w:type="dxa"/>
            <w:vAlign w:val="bottom"/>
            <w:gridSpan w:val="3"/>
            <w:shd w:val="clear" w:color="auto" w:fill="3051F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righ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240" w:type="dxa"/>
            <w:vAlign w:val="bottom"/>
            <w:tcBorders>
              <w:bottom w:val="single" w:sz="8" w:color="3051F2"/>
            </w:tcBorders>
            <w:gridSpan w:val="8"/>
          </w:tcPr>
          <w:p>
            <w:pPr>
              <w:spacing w:after="0" w:line="159" w:lineRule="exact"/>
              <w:rPr>
                <w:sz w:val="20"/>
                <w:szCs w:val="20"/>
                <w:color w:val="auto"/>
              </w:rPr>
            </w:pPr>
            <w:r>
              <w:rPr>
                <w:rFonts w:ascii="Times New Roman" w:cs="Times New Roman" w:eastAsia="Times New Roman" w:hAnsi="Times New Roman"/>
                <w:sz w:val="14"/>
                <w:szCs w:val="14"/>
                <w:color w:val="3051F2"/>
                <w:w w:val="98"/>
              </w:rPr>
              <w:t>DESCRIPTION OF CAPITAL STOCK</w:t>
            </w:r>
          </w:p>
        </w:tc>
        <w:tc>
          <w:tcPr>
            <w:tcW w:w="7040" w:type="dxa"/>
            <w:vAlign w:val="bottom"/>
            <w:gridSpan w:val="5"/>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Borders>
              <w:bottom w:val="single" w:sz="8" w:color="3051F2"/>
            </w:tcBorders>
          </w:tcPr>
          <w:p>
            <w:pPr>
              <w:jc w:val="right"/>
              <w:spacing w:after="0" w:line="159" w:lineRule="exact"/>
              <w:rPr>
                <w:sz w:val="20"/>
                <w:szCs w:val="20"/>
                <w:color w:val="auto"/>
              </w:rPr>
            </w:pPr>
            <w:r>
              <w:rPr>
                <w:rFonts w:ascii="Times New Roman" w:cs="Times New Roman" w:eastAsia="Times New Roman" w:hAnsi="Times New Roman"/>
                <w:sz w:val="14"/>
                <w:szCs w:val="14"/>
                <w:color w:val="3051F2"/>
                <w:w w:val="85"/>
              </w:rPr>
              <w:t>10</w:t>
            </w:r>
          </w:p>
        </w:tc>
        <w:tc>
          <w:tcPr>
            <w:tcW w:w="20" w:type="dxa"/>
            <w:vAlign w:val="bottom"/>
          </w:tcPr>
          <w:p>
            <w:pPr>
              <w:spacing w:after="0"/>
              <w:rPr>
                <w:sz w:val="13"/>
                <w:szCs w:val="13"/>
                <w:color w:val="auto"/>
              </w:rPr>
            </w:pPr>
          </w:p>
        </w:tc>
      </w:tr>
      <w:tr>
        <w:trPr>
          <w:trHeight w:val="159"/>
        </w:trPr>
        <w:tc>
          <w:tcPr>
            <w:tcW w:w="7600" w:type="dxa"/>
            <w:vAlign w:val="bottom"/>
            <w:tcBorders>
              <w:bottom w:val="single" w:sz="8" w:color="3051F2"/>
            </w:tcBorders>
            <w:gridSpan w:val="12"/>
          </w:tcPr>
          <w:p>
            <w:pPr>
              <w:spacing w:after="0" w:line="159" w:lineRule="exact"/>
              <w:rPr>
                <w:sz w:val="20"/>
                <w:szCs w:val="20"/>
                <w:color w:val="auto"/>
              </w:rPr>
            </w:pPr>
            <w:r>
              <w:rPr>
                <w:rFonts w:ascii="Times New Roman" w:cs="Times New Roman" w:eastAsia="Times New Roman" w:hAnsi="Times New Roman"/>
                <w:sz w:val="14"/>
                <w:szCs w:val="14"/>
                <w:color w:val="3051F2"/>
                <w:w w:val="99"/>
              </w:rPr>
              <w:t>MATERIAL U.S. FEDERAL INCOME TAX CONSEQUENCES TO NON-U.S. HOLDERS OF OUR SERIES A COMMON STOCK</w:t>
            </w:r>
          </w:p>
        </w:tc>
        <w:tc>
          <w:tcPr>
            <w:tcW w:w="16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Borders>
              <w:bottom w:val="single" w:sz="8" w:color="3051F2"/>
            </w:tcBorders>
          </w:tcPr>
          <w:p>
            <w:pPr>
              <w:jc w:val="right"/>
              <w:spacing w:after="0" w:line="159" w:lineRule="exact"/>
              <w:rPr>
                <w:sz w:val="20"/>
                <w:szCs w:val="20"/>
                <w:color w:val="auto"/>
              </w:rPr>
            </w:pPr>
            <w:r>
              <w:rPr>
                <w:rFonts w:ascii="Times New Roman" w:cs="Times New Roman" w:eastAsia="Times New Roman" w:hAnsi="Times New Roman"/>
                <w:sz w:val="14"/>
                <w:szCs w:val="14"/>
                <w:color w:val="3051F2"/>
                <w:w w:val="85"/>
              </w:rPr>
              <w:t>17</w:t>
            </w:r>
          </w:p>
        </w:tc>
        <w:tc>
          <w:tcPr>
            <w:tcW w:w="20" w:type="dxa"/>
            <w:vAlign w:val="bottom"/>
          </w:tcPr>
          <w:p>
            <w:pPr>
              <w:spacing w:after="0"/>
              <w:rPr>
                <w:sz w:val="13"/>
                <w:szCs w:val="13"/>
                <w:color w:val="auto"/>
              </w:rPr>
            </w:pPr>
          </w:p>
        </w:tc>
      </w:tr>
      <w:tr>
        <w:trPr>
          <w:trHeight w:val="159"/>
        </w:trPr>
        <w:tc>
          <w:tcPr>
            <w:tcW w:w="9280" w:type="dxa"/>
            <w:vAlign w:val="bottom"/>
            <w:gridSpan w:val="13"/>
          </w:tcPr>
          <w:p>
            <w:pPr>
              <w:spacing w:after="0" w:line="159" w:lineRule="exact"/>
              <w:rPr>
                <w:sz w:val="20"/>
                <w:szCs w:val="20"/>
                <w:color w:val="auto"/>
              </w:rPr>
            </w:pPr>
            <w:r>
              <w:rPr>
                <w:rFonts w:ascii="Times New Roman" w:cs="Times New Roman" w:eastAsia="Times New Roman" w:hAnsi="Times New Roman"/>
                <w:sz w:val="14"/>
                <w:szCs w:val="14"/>
                <w:color w:val="3051F2"/>
              </w:rPr>
              <w:t>UNDERWRITING</w:t>
            </w:r>
          </w:p>
        </w:tc>
        <w:tc>
          <w:tcPr>
            <w:tcW w:w="19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3051F2"/>
              </w:rPr>
              <w:t>22</w:t>
            </w:r>
          </w:p>
        </w:tc>
        <w:tc>
          <w:tcPr>
            <w:tcW w:w="20" w:type="dxa"/>
            <w:vAlign w:val="bottom"/>
          </w:tcPr>
          <w:p>
            <w:pPr>
              <w:spacing w:after="0"/>
              <w:rPr>
                <w:sz w:val="13"/>
                <w:szCs w:val="13"/>
                <w:color w:val="auto"/>
              </w:rPr>
            </w:pPr>
          </w:p>
        </w:tc>
      </w:tr>
      <w:tr>
        <w:trPr>
          <w:trHeight w:val="20"/>
        </w:trPr>
        <w:tc>
          <w:tcPr>
            <w:tcW w:w="600" w:type="dxa"/>
            <w:vAlign w:val="bottom"/>
            <w:shd w:val="clear" w:color="auto" w:fill="3051F2"/>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1140" w:type="dxa"/>
            <w:vAlign w:val="bottom"/>
            <w:tcBorders>
              <w:bottom w:val="single" w:sz="8" w:color="3051F2"/>
            </w:tcBorders>
            <w:gridSpan w:val="4"/>
          </w:tcPr>
          <w:p>
            <w:pPr>
              <w:spacing w:after="0" w:line="159" w:lineRule="exact"/>
              <w:rPr>
                <w:sz w:val="20"/>
                <w:szCs w:val="20"/>
                <w:color w:val="auto"/>
              </w:rPr>
            </w:pPr>
            <w:r>
              <w:rPr>
                <w:rFonts w:ascii="Times New Roman" w:cs="Times New Roman" w:eastAsia="Times New Roman" w:hAnsi="Times New Roman"/>
                <w:sz w:val="14"/>
                <w:szCs w:val="14"/>
                <w:color w:val="3051F2"/>
                <w:w w:val="97"/>
              </w:rPr>
              <w:t>LEGAL MATTERS</w:t>
            </w:r>
          </w:p>
        </w:tc>
        <w:tc>
          <w:tcPr>
            <w:tcW w:w="8140" w:type="dxa"/>
            <w:vAlign w:val="bottom"/>
            <w:gridSpan w:val="9"/>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Borders>
              <w:bottom w:val="single" w:sz="8" w:color="3051F2"/>
            </w:tcBorders>
          </w:tcPr>
          <w:p>
            <w:pPr>
              <w:jc w:val="right"/>
              <w:spacing w:after="0" w:line="159" w:lineRule="exact"/>
              <w:rPr>
                <w:sz w:val="20"/>
                <w:szCs w:val="20"/>
                <w:color w:val="auto"/>
              </w:rPr>
            </w:pPr>
            <w:r>
              <w:rPr>
                <w:rFonts w:ascii="Times New Roman" w:cs="Times New Roman" w:eastAsia="Times New Roman" w:hAnsi="Times New Roman"/>
                <w:sz w:val="14"/>
                <w:szCs w:val="14"/>
                <w:color w:val="3051F2"/>
                <w:w w:val="85"/>
              </w:rPr>
              <w:t>27</w:t>
            </w:r>
          </w:p>
        </w:tc>
        <w:tc>
          <w:tcPr>
            <w:tcW w:w="20" w:type="dxa"/>
            <w:vAlign w:val="bottom"/>
          </w:tcPr>
          <w:p>
            <w:pPr>
              <w:spacing w:after="0"/>
              <w:rPr>
                <w:sz w:val="13"/>
                <w:szCs w:val="13"/>
                <w:color w:val="auto"/>
              </w:rPr>
            </w:pPr>
          </w:p>
        </w:tc>
      </w:tr>
      <w:tr>
        <w:trPr>
          <w:trHeight w:val="159"/>
        </w:trPr>
        <w:tc>
          <w:tcPr>
            <w:tcW w:w="600" w:type="dxa"/>
            <w:vAlign w:val="bottom"/>
            <w:tcBorders>
              <w:bottom w:val="single" w:sz="8" w:color="3051F2"/>
            </w:tcBorders>
          </w:tcPr>
          <w:p>
            <w:pPr>
              <w:spacing w:after="0" w:line="159" w:lineRule="exact"/>
              <w:rPr>
                <w:sz w:val="20"/>
                <w:szCs w:val="20"/>
                <w:color w:val="auto"/>
              </w:rPr>
            </w:pPr>
            <w:r>
              <w:rPr>
                <w:rFonts w:ascii="Times New Roman" w:cs="Times New Roman" w:eastAsia="Times New Roman" w:hAnsi="Times New Roman"/>
                <w:sz w:val="14"/>
                <w:szCs w:val="14"/>
                <w:color w:val="3051F2"/>
                <w:w w:val="95"/>
              </w:rPr>
              <w:t>EXPERTS</w:t>
            </w:r>
          </w:p>
        </w:tc>
        <w:tc>
          <w:tcPr>
            <w:tcW w:w="8680" w:type="dxa"/>
            <w:vAlign w:val="bottom"/>
            <w:gridSpan w:val="12"/>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Borders>
              <w:bottom w:val="single" w:sz="8" w:color="3051F2"/>
            </w:tcBorders>
          </w:tcPr>
          <w:p>
            <w:pPr>
              <w:jc w:val="right"/>
              <w:spacing w:after="0" w:line="159" w:lineRule="exact"/>
              <w:rPr>
                <w:sz w:val="20"/>
                <w:szCs w:val="20"/>
                <w:color w:val="auto"/>
              </w:rPr>
            </w:pPr>
            <w:r>
              <w:rPr>
                <w:rFonts w:ascii="Times New Roman" w:cs="Times New Roman" w:eastAsia="Times New Roman" w:hAnsi="Times New Roman"/>
                <w:sz w:val="14"/>
                <w:szCs w:val="14"/>
                <w:color w:val="3051F2"/>
                <w:w w:val="85"/>
              </w:rPr>
              <w:t>27</w:t>
            </w:r>
          </w:p>
        </w:tc>
        <w:tc>
          <w:tcPr>
            <w:tcW w:w="20" w:type="dxa"/>
            <w:vAlign w:val="bottom"/>
          </w:tcPr>
          <w:p>
            <w:pPr>
              <w:spacing w:after="0"/>
              <w:rPr>
                <w:sz w:val="13"/>
                <w:szCs w:val="13"/>
                <w:color w:val="auto"/>
              </w:rPr>
            </w:pPr>
          </w:p>
        </w:tc>
      </w:tr>
      <w:tr>
        <w:trPr>
          <w:trHeight w:val="159"/>
        </w:trPr>
        <w:tc>
          <w:tcPr>
            <w:tcW w:w="3440" w:type="dxa"/>
            <w:vAlign w:val="bottom"/>
            <w:tcBorders>
              <w:bottom w:val="single" w:sz="8" w:color="3051F2"/>
            </w:tcBorders>
            <w:gridSpan w:val="10"/>
          </w:tcPr>
          <w:p>
            <w:pPr>
              <w:spacing w:after="0" w:line="159" w:lineRule="exact"/>
              <w:rPr>
                <w:sz w:val="20"/>
                <w:szCs w:val="20"/>
                <w:color w:val="auto"/>
              </w:rPr>
            </w:pPr>
            <w:r>
              <w:rPr>
                <w:rFonts w:ascii="Times New Roman" w:cs="Times New Roman" w:eastAsia="Times New Roman" w:hAnsi="Times New Roman"/>
                <w:sz w:val="14"/>
                <w:szCs w:val="14"/>
                <w:color w:val="3051F2"/>
                <w:w w:val="99"/>
              </w:rPr>
              <w:t>WHERE YOU CAN FIND ADDITIONAL INFORMATION</w:t>
            </w:r>
          </w:p>
        </w:tc>
        <w:tc>
          <w:tcPr>
            <w:tcW w:w="5840" w:type="dxa"/>
            <w:vAlign w:val="bottom"/>
            <w:gridSpan w:val="3"/>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Borders>
              <w:bottom w:val="single" w:sz="8" w:color="3051F2"/>
            </w:tcBorders>
          </w:tcPr>
          <w:p>
            <w:pPr>
              <w:jc w:val="right"/>
              <w:spacing w:after="0" w:line="159" w:lineRule="exact"/>
              <w:rPr>
                <w:sz w:val="20"/>
                <w:szCs w:val="20"/>
                <w:color w:val="auto"/>
              </w:rPr>
            </w:pPr>
            <w:r>
              <w:rPr>
                <w:rFonts w:ascii="Times New Roman" w:cs="Times New Roman" w:eastAsia="Times New Roman" w:hAnsi="Times New Roman"/>
                <w:sz w:val="14"/>
                <w:szCs w:val="14"/>
                <w:color w:val="3051F2"/>
                <w:w w:val="85"/>
              </w:rPr>
              <w:t>27</w:t>
            </w:r>
          </w:p>
        </w:tc>
        <w:tc>
          <w:tcPr>
            <w:tcW w:w="20" w:type="dxa"/>
            <w:vAlign w:val="bottom"/>
          </w:tcPr>
          <w:p>
            <w:pPr>
              <w:spacing w:after="0"/>
              <w:rPr>
                <w:sz w:val="13"/>
                <w:szCs w:val="13"/>
                <w:color w:val="auto"/>
              </w:rPr>
            </w:pPr>
          </w:p>
        </w:tc>
      </w:tr>
      <w:tr>
        <w:trPr>
          <w:trHeight w:val="159"/>
        </w:trPr>
        <w:tc>
          <w:tcPr>
            <w:tcW w:w="3140" w:type="dxa"/>
            <w:vAlign w:val="bottom"/>
            <w:tcBorders>
              <w:bottom w:val="single" w:sz="8" w:color="3051F2"/>
            </w:tcBorders>
            <w:gridSpan w:val="9"/>
          </w:tcPr>
          <w:p>
            <w:pPr>
              <w:spacing w:after="0" w:line="159" w:lineRule="exact"/>
              <w:rPr>
                <w:sz w:val="20"/>
                <w:szCs w:val="20"/>
                <w:color w:val="auto"/>
              </w:rPr>
            </w:pPr>
            <w:r>
              <w:rPr>
                <w:rFonts w:ascii="Times New Roman" w:cs="Times New Roman" w:eastAsia="Times New Roman" w:hAnsi="Times New Roman"/>
                <w:sz w:val="14"/>
                <w:szCs w:val="14"/>
                <w:color w:val="3051F2"/>
                <w:w w:val="98"/>
              </w:rPr>
              <w:t>INFORMATION INCORPORATED BY REFERENCE</w:t>
            </w:r>
          </w:p>
        </w:tc>
        <w:tc>
          <w:tcPr>
            <w:tcW w:w="6140" w:type="dxa"/>
            <w:vAlign w:val="bottom"/>
            <w:gridSpan w:val="4"/>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Borders>
              <w:bottom w:val="single" w:sz="8" w:color="3051F2"/>
            </w:tcBorders>
          </w:tcPr>
          <w:p>
            <w:pPr>
              <w:jc w:val="right"/>
              <w:spacing w:after="0" w:line="159" w:lineRule="exact"/>
              <w:rPr>
                <w:sz w:val="20"/>
                <w:szCs w:val="20"/>
                <w:color w:val="auto"/>
              </w:rPr>
            </w:pPr>
            <w:r>
              <w:rPr>
                <w:rFonts w:ascii="Times New Roman" w:cs="Times New Roman" w:eastAsia="Times New Roman" w:hAnsi="Times New Roman"/>
                <w:sz w:val="14"/>
                <w:szCs w:val="14"/>
                <w:color w:val="3051F2"/>
                <w:w w:val="85"/>
              </w:rPr>
              <w:t>28</w:t>
            </w:r>
          </w:p>
        </w:tc>
        <w:tc>
          <w:tcPr>
            <w:tcW w:w="20" w:type="dxa"/>
            <w:vAlign w:val="bottom"/>
          </w:tcPr>
          <w:p>
            <w:pPr>
              <w:spacing w:after="0"/>
              <w:rPr>
                <w:sz w:val="13"/>
                <w:szCs w:val="13"/>
                <w:color w:val="auto"/>
              </w:rPr>
            </w:pPr>
          </w:p>
        </w:tc>
      </w:tr>
    </w:tbl>
    <w:p>
      <w:pPr>
        <w:spacing w:after="0" w:line="39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4"/>
          <w:szCs w:val="14"/>
          <w:color w:val="auto"/>
        </w:rPr>
        <w:t>Neither we, the selling stockholder nor any of the underwriters have authorized anyone to provide any information or make any representations other than those contained in this prospectus or in any free writing prospectus we have prepared. We, the selling stockholder and the underwriters take no responsibility for and can provide no assurance as to the reliability of, any other information that others may give you. The selling stockholder is offering to sell, and seeking offers to buy, shares of our Series A common stock only in jurisdictions where offers and sales are permitted. The information contained in this prospectus is accurate only as of the date of this prospectus, regardless of the time of delivery of this prospectus or of any sale of our Series A common stock. Our business, financial condition, results of operations, and prospects may have changed since that date.</w:t>
      </w:r>
    </w:p>
    <w:p>
      <w:pPr>
        <w:spacing w:after="0" w:line="141"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4"/>
          <w:szCs w:val="14"/>
          <w:color w:val="auto"/>
        </w:rPr>
        <w:t>For investors outside of the United States: Neither we, the selling stockholder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Series A common stock and the distribution of this prospectus outside of the United States.</w:t>
      </w:r>
    </w:p>
    <w:p>
      <w:pPr>
        <w:sectPr>
          <w:pgSz w:w="11900" w:h="16838" w:orient="portrait"/>
          <w:cols w:equalWidth="0" w:num="1">
            <w:col w:w="11280"/>
          </w:cols>
          <w:pgMar w:left="300" w:top="113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545465</wp:posOffset>
            </wp:positionV>
            <wp:extent cx="716851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8515" cy="5237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8" w:lineRule="exact"/>
        <w:rPr>
          <w:sz w:val="20"/>
          <w:szCs w:val="20"/>
          <w:color w:val="auto"/>
        </w:rPr>
      </w:pPr>
    </w:p>
    <w:p>
      <w:pPr>
        <w:ind w:left="520" w:right="60"/>
        <w:spacing w:after="0" w:line="257" w:lineRule="auto"/>
        <w:rPr>
          <w:sz w:val="20"/>
          <w:szCs w:val="20"/>
          <w:color w:val="auto"/>
        </w:rPr>
      </w:pPr>
      <w:r>
        <w:rPr>
          <w:rFonts w:ascii="Times New Roman" w:cs="Times New Roman" w:eastAsia="Times New Roman" w:hAnsi="Times New Roman"/>
          <w:sz w:val="14"/>
          <w:szCs w:val="14"/>
          <w:color w:val="auto"/>
        </w:rPr>
        <w:t>This summary highlights information contained elsewhere in this prospectus or in the documents incorporated by reference herein and does not contain all of the information you should consider before investing in shares of our Series A common stock. You should read this entire prospectus carefully, including information incorporated by reference in this prospectus and any free writing prospectus prepared by us or on our behalf, including the section entitled “Risk Factors” and “Special Note Regarding Forward-Looking Statements” in this prospectus, the documents incorporated by reference in this prospectus and the consolidated financial statements and the related notes thereto incorporated by reference in this prospectus before you decide to invest in shares of our Series A common stock. Unless the context otherwise requires, the terms “Pattern,” the “Company,” “we,” “us” and “our” in this prospectus refer to Pattern Group Inc. and its consolidated subsidiaries. Unless otherwise stated, all business data included in this summary is as of March 31, 2026.</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8" w:lineRule="exact"/>
        <w:rPr>
          <w:sz w:val="20"/>
          <w:szCs w:val="20"/>
          <w:color w:val="auto"/>
        </w:rPr>
      </w:pPr>
    </w:p>
    <w:p>
      <w:pPr>
        <w:ind w:left="520" w:right="200"/>
        <w:spacing w:after="0" w:line="259" w:lineRule="auto"/>
        <w:rPr>
          <w:sz w:val="20"/>
          <w:szCs w:val="20"/>
          <w:color w:val="auto"/>
        </w:rPr>
      </w:pPr>
      <w:r>
        <w:rPr>
          <w:rFonts w:ascii="Times New Roman" w:cs="Times New Roman" w:eastAsia="Times New Roman" w:hAnsi="Times New Roman"/>
          <w:sz w:val="14"/>
          <w:szCs w:val="14"/>
          <w:color w:val="auto"/>
        </w:rPr>
        <w:t>At Pattern, we are on a mission to help brands accelerate profitable growth on global ecommerce marketplaces. Our proprietary technology and on-demand experts operate across more than 70 marketplaces to increase product sales to consumers in more than 100 countries. We have gathered more than 77 trillion data points comprised of keyword, shipping, advertising, sales, market share, click, social, conversion, customer service and other data. Utilizing these data points and sophisticated machine learning and artificial intelligence (“AI”) models, we strive to optimize and automate key levers of ecommerce growth, including advertising, content creation and management, pricing, forecasting and customer service.</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Given the complexities that consumer brands face in scaling and accelerating global ecommerce, we have built a powerful ecommerce acceleration platform (“our technology”)</w:t>
      </w:r>
    </w:p>
    <w:p>
      <w:pPr>
        <w:spacing w:after="0" w:line="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organized around a simple and intuitive formula, which we call the ecommerce equation: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0" w:right="120"/>
        <w:spacing w:after="0" w:line="217" w:lineRule="auto"/>
        <w:rPr>
          <w:sz w:val="20"/>
          <w:szCs w:val="20"/>
          <w:color w:val="auto"/>
        </w:rPr>
      </w:pPr>
      <w:r>
        <w:rPr>
          <w:rFonts w:ascii="Times New Roman" w:cs="Times New Roman" w:eastAsia="Times New Roman" w:hAnsi="Times New Roman"/>
          <w:sz w:val="14"/>
          <w:szCs w:val="14"/>
          <w:color w:val="auto"/>
        </w:rPr>
        <w:t>Our technology executes thousands of optimizations daily and drives the ecommerce equation across tens of thousands of products on marketplaces around the world. These optimizations include automated adjustments and recommendations powered by AI, machine learning and our massive flow of ecommerce data points, allowing brands to navigate the complexity of operating on global ecommerce marketplaces at scale. Pattern Intelligence (“Pi”) is Pattern’s AI-powered autonomous ecommerce execution engine that identifies</w:t>
      </w:r>
    </w:p>
    <w:p>
      <w:pPr>
        <w:ind w:left="520" w:right="420"/>
        <w:spacing w:after="0" w:line="226" w:lineRule="auto"/>
        <w:rPr>
          <w:sz w:val="20"/>
          <w:szCs w:val="20"/>
          <w:color w:val="auto"/>
        </w:rPr>
      </w:pPr>
      <w:r>
        <w:rPr>
          <w:rFonts w:ascii="Times New Roman" w:cs="Times New Roman" w:eastAsia="Times New Roman" w:hAnsi="Times New Roman"/>
          <w:sz w:val="14"/>
          <w:szCs w:val="14"/>
          <w:color w:val="auto"/>
        </w:rPr>
        <w:t>opportunities and acts on them in real time, helping brand partners grow revenue, win market share and build a stronger presence on the world’s top marketplaces. Pi leverages Pattern’s data collection, logic execution and broader technology portfolio.</w:t>
      </w:r>
    </w:p>
    <w:p>
      <w:pPr>
        <w:spacing w:after="0" w:line="133" w:lineRule="exact"/>
        <w:rPr>
          <w:sz w:val="20"/>
          <w:szCs w:val="20"/>
          <w:color w:val="auto"/>
        </w:rPr>
      </w:pPr>
    </w:p>
    <w:p>
      <w:pPr>
        <w:ind w:left="520"/>
        <w:spacing w:after="0" w:line="259" w:lineRule="auto"/>
        <w:rPr>
          <w:sz w:val="20"/>
          <w:szCs w:val="20"/>
          <w:color w:val="auto"/>
        </w:rPr>
      </w:pPr>
      <w:r>
        <w:rPr>
          <w:rFonts w:ascii="Times New Roman" w:cs="Times New Roman" w:eastAsia="Times New Roman" w:hAnsi="Times New Roman"/>
          <w:sz w:val="14"/>
          <w:szCs w:val="14"/>
          <w:color w:val="auto"/>
        </w:rPr>
        <w:t>Our technology, with a combined total of 41 issued patents and patents pending (as of May 21, 2026), is supported by approximately 490 software engineers, data scientists and other technology professionals who are dedicated to enhancing and innovating upon our technology to further increase our capabilities. We have a team that offers on-demand expertise and capabilities across marketplace management, marketing, fulfillment and brand protection on a global basis. We sell products from more than 200 brands across different industries and geographies including the Americas, Europe, Australia and Asia. Our current brand partners’ industry presence includes health and wellness, beauty and personal care, home and lifestyle, pet, sports and outdoors and consumer electronics.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Our Business Model</w:t>
      </w:r>
    </w:p>
    <w:p>
      <w:pPr>
        <w:spacing w:after="0" w:line="178" w:lineRule="exact"/>
        <w:rPr>
          <w:sz w:val="20"/>
          <w:szCs w:val="20"/>
          <w:color w:val="auto"/>
        </w:rPr>
      </w:pPr>
    </w:p>
    <w:p>
      <w:pPr>
        <w:ind w:left="520" w:right="180"/>
        <w:spacing w:after="0" w:line="283" w:lineRule="auto"/>
        <w:rPr>
          <w:sz w:val="20"/>
          <w:szCs w:val="20"/>
          <w:color w:val="auto"/>
        </w:rPr>
      </w:pPr>
      <w:r>
        <w:rPr>
          <w:rFonts w:ascii="Times New Roman" w:cs="Times New Roman" w:eastAsia="Times New Roman" w:hAnsi="Times New Roman"/>
          <w:sz w:val="14"/>
          <w:szCs w:val="14"/>
          <w:color w:val="auto"/>
        </w:rPr>
        <w:t>We generate the substantial majority of our revenue from consumer product sales on global ecommerce marketplaces. Pattern acquires inventory based on contractual relationships with brand partners and uses its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760"/>
          </w:cols>
          <w:pgMar w:left="300" w:top="125" w:right="8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545465</wp:posOffset>
            </wp:positionV>
            <wp:extent cx="7168515" cy="4455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8515" cy="4455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to optimize the ecommerce equation by driving traffic, increasing conversion, managing price and maintaining product availability across global ecommerce marketplaces.</w:t>
      </w:r>
    </w:p>
    <w:p>
      <w:pPr>
        <w:spacing w:after="0" w:line="176" w:lineRule="exact"/>
        <w:rPr>
          <w:sz w:val="20"/>
          <w:szCs w:val="20"/>
          <w:color w:val="auto"/>
        </w:rPr>
      </w:pPr>
    </w:p>
    <w:p>
      <w:pPr>
        <w:ind w:left="520" w:right="220"/>
        <w:spacing w:after="0" w:line="283" w:lineRule="auto"/>
        <w:rPr>
          <w:sz w:val="20"/>
          <w:szCs w:val="20"/>
          <w:color w:val="auto"/>
        </w:rPr>
      </w:pPr>
      <w:r>
        <w:rPr>
          <w:rFonts w:ascii="Times New Roman" w:cs="Times New Roman" w:eastAsia="Times New Roman" w:hAnsi="Times New Roman"/>
          <w:sz w:val="14"/>
          <w:szCs w:val="14"/>
          <w:color w:val="auto"/>
        </w:rPr>
        <w:t>We target brand partners with a proven track record of selling highly rated products, a loyal customer base and growth potential, assessed through our proprietary scorecard. Using our extensive data, we identify potential brand partners, and our sales team efficiently markets to and signs new brand partners.</w:t>
      </w:r>
    </w:p>
    <w:p>
      <w:pPr>
        <w:spacing w:after="0" w:line="125" w:lineRule="exact"/>
        <w:rPr>
          <w:sz w:val="20"/>
          <w:szCs w:val="20"/>
          <w:color w:val="auto"/>
        </w:rPr>
      </w:pPr>
    </w:p>
    <w:p>
      <w:pPr>
        <w:ind w:left="520" w:right="240"/>
        <w:spacing w:after="0" w:line="283" w:lineRule="auto"/>
        <w:rPr>
          <w:sz w:val="20"/>
          <w:szCs w:val="20"/>
          <w:color w:val="auto"/>
        </w:rPr>
      </w:pPr>
      <w:r>
        <w:rPr>
          <w:rFonts w:ascii="Times New Roman" w:cs="Times New Roman" w:eastAsia="Times New Roman" w:hAnsi="Times New Roman"/>
          <w:sz w:val="14"/>
          <w:szCs w:val="14"/>
          <w:color w:val="auto"/>
        </w:rPr>
        <w:t>We have developed and maintain strong and long-lasting brand partner relationships. Revenue attributable to brand partners consists of consumer product sales and other revenue, including subscription and consulting fees.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Purchasing our brand partners’ products offers several advantages, creating a mutually beneficial partnership that supports growth for both Pattern and our brand partners by:</w:t>
      </w:r>
    </w:p>
    <w:p>
      <w:pPr>
        <w:spacing w:after="0" w:line="176" w:lineRule="exact"/>
        <w:rPr>
          <w:sz w:val="20"/>
          <w:szCs w:val="20"/>
          <w:color w:val="auto"/>
        </w:rPr>
      </w:pPr>
    </w:p>
    <w:p>
      <w:pPr>
        <w:ind w:left="1020" w:hanging="248"/>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a simple low-friction model where brands sell their products to Pattern at predetermined prices</w:t>
      </w:r>
    </w:p>
    <w:p>
      <w:pPr>
        <w:spacing w:after="0" w:line="175" w:lineRule="exact"/>
        <w:rPr>
          <w:rFonts w:ascii="Times New Roman" w:cs="Times New Roman" w:eastAsia="Times New Roman" w:hAnsi="Times New Roman"/>
          <w:sz w:val="14"/>
          <w:szCs w:val="14"/>
          <w:color w:val="auto"/>
        </w:rPr>
      </w:pPr>
    </w:p>
    <w:p>
      <w:pPr>
        <w:ind w:left="1020" w:hanging="248"/>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need for brands to allocate technology and overhead budget</w:t>
      </w:r>
    </w:p>
    <w:p>
      <w:pPr>
        <w:spacing w:after="0" w:line="175" w:lineRule="exact"/>
        <w:rPr>
          <w:rFonts w:ascii="Times New Roman" w:cs="Times New Roman" w:eastAsia="Times New Roman" w:hAnsi="Times New Roman"/>
          <w:sz w:val="14"/>
          <w:szCs w:val="14"/>
          <w:color w:val="auto"/>
        </w:rPr>
      </w:pPr>
    </w:p>
    <w:p>
      <w:pPr>
        <w:ind w:left="1020" w:hanging="248"/>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Allowing Pattern to manage the marketplace experience and optimize the ecommerce equation</w:t>
      </w:r>
    </w:p>
    <w:p>
      <w:pPr>
        <w:spacing w:after="0" w:line="175" w:lineRule="exact"/>
        <w:rPr>
          <w:rFonts w:ascii="Times New Roman" w:cs="Times New Roman" w:eastAsia="Times New Roman" w:hAnsi="Times New Roman"/>
          <w:sz w:val="14"/>
          <w:szCs w:val="14"/>
          <w:color w:val="auto"/>
        </w:rPr>
      </w:pPr>
    </w:p>
    <w:p>
      <w:pPr>
        <w:ind w:left="1020" w:hanging="248"/>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Enabling Pattern to gather data, conduct real-time testing and enhance predictive models with AI</w:t>
      </w:r>
    </w:p>
    <w:p>
      <w:pPr>
        <w:spacing w:after="0" w:line="176" w:lineRule="exact"/>
        <w:rPr>
          <w:sz w:val="20"/>
          <w:szCs w:val="20"/>
          <w:color w:val="auto"/>
        </w:rPr>
      </w:pPr>
    </w:p>
    <w:p>
      <w:pPr>
        <w:ind w:left="520" w:right="60"/>
        <w:spacing w:after="0" w:line="267" w:lineRule="auto"/>
        <w:rPr>
          <w:sz w:val="20"/>
          <w:szCs w:val="20"/>
          <w:color w:val="auto"/>
        </w:rPr>
      </w:pPr>
      <w:r>
        <w:rPr>
          <w:rFonts w:ascii="Times New Roman" w:cs="Times New Roman" w:eastAsia="Times New Roman" w:hAnsi="Times New Roman"/>
          <w:sz w:val="14"/>
          <w:szCs w:val="14"/>
          <w:color w:val="auto"/>
        </w:rPr>
        <w:t>Our operating model capitalizes on global economies of scale to optimize costs while investing in future growth. By managing more brand partners, we streamline logistics, reducing delivery times and costs. As we enhance operational efficiencies, we remain committed to innovating our technology, expanding capabilities and offering new solutions to our partners. Investments in technology and warehouse automation have significantly boosted our operational efficiency and realize tangible economic benefits from scale.</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8" w:lineRule="exact"/>
        <w:rPr>
          <w:sz w:val="20"/>
          <w:szCs w:val="20"/>
          <w:color w:val="auto"/>
        </w:rPr>
      </w:pPr>
    </w:p>
    <w:p>
      <w:pPr>
        <w:ind w:left="520"/>
        <w:spacing w:after="0" w:line="256" w:lineRule="auto"/>
        <w:rPr>
          <w:sz w:val="20"/>
          <w:szCs w:val="20"/>
          <w:color w:val="auto"/>
        </w:rPr>
      </w:pPr>
      <w:r>
        <w:rPr>
          <w:rFonts w:ascii="Times New Roman" w:cs="Times New Roman" w:eastAsia="Times New Roman" w:hAnsi="Times New Roman"/>
          <w:sz w:val="14"/>
          <w:szCs w:val="14"/>
          <w:color w:val="auto"/>
        </w:rPr>
        <w:t>We were incorporated in 2018 under the name Covalent Group, Inc. as a Utah corporation and subsequently converted to a Delaware corporation in 2020. Our wholly-owned subsidiary, Pattern Inc., was incorporated in 2013 as a Utah corporation named iServe Products, Inc. In 2019, iServe Products, Inc. changed its name to Pattern Inc., and subsequently in 2019, the stockholders of Pattern Inc. exchanged all of the issued and outstanding shares of Pattern Inc. for shares of Covalent Group, Inc. In November 2024, Covalent Group, Inc. changed its name to Pattern Group Inc. Our principal executive offices are located at 1441 West Innovation Way, Suite 500, Lehi, UT 84043, and our telephone number is (866) 765-1355. Our website address is www.pattern.com. Information contained on or that can be accessed through our website does not constitute part of this prospectus and the inclusion of our website address in this prospectus is an inactive textual reference only. You should not consider information contained on our website to be part of this prospectus or in deciding whether to purchase shares of our Series A common stock.</w:t>
      </w:r>
    </w:p>
    <w:p>
      <w:pPr>
        <w:spacing w:after="0" w:line="145"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4"/>
          <w:szCs w:val="14"/>
          <w:color w:val="auto"/>
        </w:rPr>
        <w:t>“Pattern” is our registered trademark in the United States and other jurisdictions. The Pattern design logo and our other registered or common law trademarks, service marks or trade names appearing in this prospectus are our property. This prospectus includes our trademarks and trade names, including, without limitation, “Pattern”, which are our property and are protected under applicable intellectual property laws. Other trademarks and trade names referred to in this prospectus and in the documents incorporated by reference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760"/>
          </w:cols>
          <w:pgMar w:left="300" w:top="125" w:right="8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545465</wp:posOffset>
            </wp:positionV>
            <wp:extent cx="7168515" cy="4315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8515" cy="431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33" w:lineRule="exact"/>
        <w:rPr>
          <w:sz w:val="20"/>
          <w:szCs w:val="20"/>
          <w:color w:val="auto"/>
        </w:rPr>
      </w:pPr>
    </w:p>
    <w:p>
      <w:pPr>
        <w:ind w:left="540"/>
        <w:spacing w:after="0"/>
        <w:tabs>
          <w:tab w:leader="none" w:pos="5580" w:val="left"/>
        </w:tabs>
        <w:rPr>
          <w:sz w:val="20"/>
          <w:szCs w:val="20"/>
          <w:color w:val="auto"/>
        </w:rPr>
      </w:pPr>
      <w:r>
        <w:rPr>
          <w:rFonts w:ascii="Times New Roman" w:cs="Times New Roman" w:eastAsia="Times New Roman" w:hAnsi="Times New Roman"/>
          <w:sz w:val="14"/>
          <w:szCs w:val="14"/>
          <w:color w:val="auto"/>
        </w:rPr>
        <w:t>Series A common stock offered by the selling stockholder</w:t>
      </w:r>
      <w:r>
        <w:rPr>
          <w:sz w:val="20"/>
          <w:szCs w:val="20"/>
          <w:color w:val="auto"/>
        </w:rPr>
        <w:tab/>
      </w:r>
      <w:r>
        <w:rPr>
          <w:rFonts w:ascii="Times New Roman" w:cs="Times New Roman" w:eastAsia="Times New Roman" w:hAnsi="Times New Roman"/>
          <w:sz w:val="14"/>
          <w:szCs w:val="14"/>
          <w:color w:val="auto"/>
        </w:rPr>
        <w:t>8,000,000 shares (or 9,200,000 shares if the underwriters exercise in full their option to</w:t>
      </w:r>
    </w:p>
    <w:p>
      <w:pPr>
        <w:ind w:left="5600"/>
        <w:spacing w:after="0"/>
        <w:rPr>
          <w:sz w:val="20"/>
          <w:szCs w:val="20"/>
          <w:color w:val="auto"/>
        </w:rPr>
      </w:pPr>
      <w:r>
        <w:rPr>
          <w:rFonts w:ascii="Times New Roman" w:cs="Times New Roman" w:eastAsia="Times New Roman" w:hAnsi="Times New Roman"/>
          <w:sz w:val="14"/>
          <w:szCs w:val="14"/>
          <w:color w:val="auto"/>
        </w:rPr>
        <w:t>purchase additional shares of Series A common stock)</w:t>
      </w:r>
    </w:p>
    <w:p>
      <w:pPr>
        <w:sectPr>
          <w:pgSz w:w="11900" w:h="16838" w:orient="portrait"/>
          <w:cols w:equalWidth="0" w:num="1">
            <w:col w:w="10740"/>
          </w:cols>
          <w:pgMar w:left="300" w:top="125" w:right="859" w:bottom="1440" w:gutter="0" w:footer="0" w:header="0"/>
        </w:sectPr>
      </w:pPr>
    </w:p>
    <w:p>
      <w:pPr>
        <w:spacing w:after="0" w:line="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Series A common stock outstanding before and after this offering</w:t>
      </w:r>
    </w:p>
    <w:p>
      <w:pPr>
        <w:spacing w:after="0" w:line="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Series B common stock outstanding before and after this offering</w:t>
      </w:r>
    </w:p>
    <w:p>
      <w:pPr>
        <w:spacing w:after="0" w:line="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Voting rights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154,938,522 shares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21,702,510 shares</w:t>
      </w:r>
    </w:p>
    <w:p>
      <w:pPr>
        <w:spacing w:after="0" w:line="60" w:lineRule="exact"/>
        <w:rPr>
          <w:sz w:val="20"/>
          <w:szCs w:val="20"/>
          <w:color w:val="auto"/>
        </w:rPr>
      </w:pPr>
    </w:p>
    <w:p>
      <w:pPr>
        <w:ind w:right="240"/>
        <w:spacing w:after="0" w:line="223" w:lineRule="auto"/>
        <w:rPr>
          <w:sz w:val="20"/>
          <w:szCs w:val="20"/>
          <w:color w:val="auto"/>
        </w:rPr>
      </w:pPr>
      <w:r>
        <w:rPr>
          <w:rFonts w:ascii="Times New Roman" w:cs="Times New Roman" w:eastAsia="Times New Roman" w:hAnsi="Times New Roman"/>
          <w:sz w:val="14"/>
          <w:szCs w:val="14"/>
          <w:color w:val="auto"/>
        </w:rPr>
        <w:t>We will not receive any proceeds from the sale of the shares of Series A common stock being offered by the selling stockholder, including upon the sale of shares of Series A</w:t>
      </w:r>
    </w:p>
    <w:p>
      <w:pPr>
        <w:spacing w:after="0" w:line="1" w:lineRule="exact"/>
        <w:rPr>
          <w:sz w:val="20"/>
          <w:szCs w:val="20"/>
          <w:color w:val="auto"/>
        </w:rPr>
      </w:pPr>
    </w:p>
    <w:p>
      <w:pPr>
        <w:jc w:val="both"/>
        <w:ind w:right="380"/>
        <w:spacing w:after="0" w:line="218" w:lineRule="auto"/>
        <w:rPr>
          <w:sz w:val="20"/>
          <w:szCs w:val="20"/>
          <w:color w:val="auto"/>
        </w:rPr>
      </w:pPr>
      <w:r>
        <w:rPr>
          <w:rFonts w:ascii="Times New Roman" w:cs="Times New Roman" w:eastAsia="Times New Roman" w:hAnsi="Times New Roman"/>
          <w:sz w:val="14"/>
          <w:szCs w:val="14"/>
          <w:color w:val="auto"/>
        </w:rPr>
        <w:t>common stock by the selling stockholder if the underwriters exercise their option to purchase additional shares of Series A common stock. We have agreed to pay certain expenses related to this offering.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the section titled “Use of Proceeds” for additional information.</w:t>
      </w:r>
    </w:p>
    <w:p>
      <w:pPr>
        <w:spacing w:after="0" w:line="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3"/>
          <w:szCs w:val="13"/>
          <w:color w:val="auto"/>
        </w:rPr>
        <w:t>We have never declared or paid any cash dividend on our capital stock. We currently intend to retain any future earnings, if any, to fund the development and expansion of our business</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4"/>
          <w:szCs w:val="14"/>
          <w:color w:val="auto"/>
        </w:rPr>
        <w:t>and do not expect to pay any dividends in the foreseeable future. Any future determination to declare cash dividends will be made at the discretion of our board of directors, subject to applicable laws, and will depend on a number of factors, including our financial condition,</w:t>
      </w:r>
    </w:p>
    <w:p>
      <w:pPr>
        <w:ind w:right="200"/>
        <w:spacing w:after="0" w:line="226" w:lineRule="auto"/>
        <w:rPr>
          <w:sz w:val="20"/>
          <w:szCs w:val="20"/>
          <w:color w:val="auto"/>
        </w:rPr>
      </w:pPr>
      <w:r>
        <w:rPr>
          <w:rFonts w:ascii="Times New Roman" w:cs="Times New Roman" w:eastAsia="Times New Roman" w:hAnsi="Times New Roman"/>
          <w:sz w:val="14"/>
          <w:szCs w:val="14"/>
          <w:color w:val="auto"/>
        </w:rPr>
        <w:t>results of operations, capital requirements, any contractual restrictions, general business conditions and other factors that our board of directors may deem relevant.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two series of common stock: Series A common stock and Series B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of our Series A common stock are entitled to one vote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of our Series B common stock are entitled to 20 votes per share.</w:t>
      </w:r>
    </w:p>
    <w:p>
      <w:pPr>
        <w:spacing w:after="0" w:line="165"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4"/>
          <w:szCs w:val="14"/>
          <w:color w:val="auto"/>
        </w:rPr>
        <w:t>Holders of our Series A common stock and Series B common stock generally vote together as a single class, unless otherwise required by law or our amended and restated certificate</w:t>
      </w:r>
    </w:p>
    <w:p>
      <w:pPr>
        <w:spacing w:after="0" w:line="1" w:lineRule="exact"/>
        <w:rPr>
          <w:sz w:val="20"/>
          <w:szCs w:val="20"/>
          <w:color w:val="auto"/>
        </w:rPr>
      </w:pPr>
    </w:p>
    <w:p>
      <w:pPr>
        <w:ind w:right="240"/>
        <w:spacing w:after="0" w:line="209" w:lineRule="auto"/>
        <w:rPr>
          <w:sz w:val="20"/>
          <w:szCs w:val="20"/>
          <w:color w:val="auto"/>
        </w:rPr>
      </w:pPr>
      <w:r>
        <w:rPr>
          <w:rFonts w:ascii="Times New Roman" w:cs="Times New Roman" w:eastAsia="Times New Roman" w:hAnsi="Times New Roman"/>
          <w:sz w:val="14"/>
          <w:szCs w:val="14"/>
          <w:color w:val="auto"/>
        </w:rPr>
        <w:t>of incorporation. The holders of our outstanding Series B common stock hold approximately 73.7% of the voting power of our outstanding capital stock and have the ability to control the outcome of matters submitted to our stockholders for approval,</w:t>
      </w:r>
    </w:p>
    <w:p>
      <w:pPr>
        <w:spacing w:after="0" w:line="226" w:lineRule="auto"/>
        <w:rPr>
          <w:sz w:val="20"/>
          <w:szCs w:val="20"/>
          <w:color w:val="auto"/>
        </w:rPr>
      </w:pPr>
      <w:r>
        <w:rPr>
          <w:rFonts w:ascii="Times New Roman" w:cs="Times New Roman" w:eastAsia="Times New Roman" w:hAnsi="Times New Roman"/>
          <w:sz w:val="14"/>
          <w:szCs w:val="14"/>
          <w:color w:val="auto"/>
        </w:rPr>
        <w:t>including the election of our directors and the approval of any change in control transaction. See the section titled “Description of Capital Stock” for additional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 “controlled company” under the corporate governance requirements of Nasdaq</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4"/>
          <w:szCs w:val="14"/>
          <w:color w:val="auto"/>
        </w:rPr>
        <w:t>and have elected not to comply with certain corporate governance standards. See the documents that are incorporated by reference into this prospectus for further information.</w:t>
      </w:r>
    </w:p>
    <w:p>
      <w:pPr>
        <w:spacing w:after="0" w:line="200" w:lineRule="exact"/>
        <w:rPr>
          <w:sz w:val="20"/>
          <w:szCs w:val="20"/>
          <w:color w:val="auto"/>
        </w:rPr>
      </w:pPr>
    </w:p>
    <w:p>
      <w:pPr>
        <w:sectPr>
          <w:pgSz w:w="11900" w:h="16838" w:orient="portrait"/>
          <w:cols w:equalWidth="0" w:num="2">
            <w:col w:w="4880" w:space="720"/>
            <w:col w:w="5140"/>
          </w:cols>
          <w:pgMar w:left="300" w:top="125"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740"/>
          </w:cols>
          <w:pgMar w:left="300" w:top="125" w:right="8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545465</wp:posOffset>
            </wp:positionV>
            <wp:extent cx="7168515" cy="2905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851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Risk factors</w:t>
            </w:r>
          </w:p>
        </w:tc>
        <w:tc>
          <w:tcPr>
            <w:tcW w:w="578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color w:val="0000FF"/>
              </w:rPr>
              <w:t>Risk Factors</w:t>
            </w:r>
            <w:r>
              <w:rPr>
                <w:rFonts w:ascii="Times New Roman" w:cs="Times New Roman" w:eastAsia="Times New Roman" w:hAnsi="Times New Roman"/>
                <w:sz w:val="14"/>
                <w:szCs w:val="14"/>
                <w:color w:val="auto"/>
              </w:rPr>
              <w:t>” herein and in the documents incorporated by reference in this</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80" w:type="dxa"/>
            <w:vAlign w:val="bottom"/>
            <w:vMerge w:val="restart"/>
          </w:tcPr>
          <w:p>
            <w:pPr>
              <w:spacing w:after="0" w:line="133" w:lineRule="exact"/>
              <w:rPr>
                <w:sz w:val="20"/>
                <w:szCs w:val="20"/>
                <w:color w:val="auto"/>
              </w:rPr>
            </w:pPr>
            <w:r>
              <w:rPr>
                <w:rFonts w:ascii="Times New Roman" w:cs="Times New Roman" w:eastAsia="Times New Roman" w:hAnsi="Times New Roman"/>
                <w:sz w:val="14"/>
                <w:szCs w:val="14"/>
                <w:color w:val="auto"/>
                <w:w w:val="97"/>
              </w:rPr>
              <w:t>discussion of risks you should carefully consider before deciding to invest</w:t>
            </w:r>
          </w:p>
        </w:tc>
        <w:tc>
          <w:tcPr>
            <w:tcW w:w="0" w:type="dxa"/>
            <w:vAlign w:val="bottom"/>
          </w:tcPr>
          <w:p>
            <w:pPr>
              <w:spacing w:after="0" w:line="20" w:lineRule="exact"/>
              <w:rPr>
                <w:sz w:val="1"/>
                <w:szCs w:val="1"/>
                <w:color w:val="auto"/>
              </w:rPr>
            </w:pPr>
          </w:p>
        </w:tc>
      </w:tr>
      <w:tr>
        <w:trPr>
          <w:trHeight w:val="113"/>
        </w:trPr>
        <w:tc>
          <w:tcPr>
            <w:tcW w:w="4380" w:type="dxa"/>
            <w:vAlign w:val="bottom"/>
          </w:tcPr>
          <w:p>
            <w:pPr>
              <w:spacing w:after="0"/>
              <w:rPr>
                <w:sz w:val="9"/>
                <w:szCs w:val="9"/>
                <w:color w:val="auto"/>
              </w:rPr>
            </w:pPr>
          </w:p>
        </w:tc>
        <w:tc>
          <w:tcPr>
            <w:tcW w:w="1700" w:type="dxa"/>
            <w:vAlign w:val="bottom"/>
            <w:gridSpan w:val="2"/>
          </w:tcPr>
          <w:p>
            <w:pPr>
              <w:ind w:left="680"/>
              <w:spacing w:after="0" w:line="113" w:lineRule="exact"/>
              <w:rPr>
                <w:sz w:val="20"/>
                <w:szCs w:val="20"/>
                <w:color w:val="auto"/>
              </w:rPr>
            </w:pPr>
            <w:r>
              <w:rPr>
                <w:rFonts w:ascii="Times New Roman" w:cs="Times New Roman" w:eastAsia="Times New Roman" w:hAnsi="Times New Roman"/>
                <w:sz w:val="13"/>
                <w:szCs w:val="13"/>
                <w:color w:val="auto"/>
              </w:rPr>
              <w:t>prospectus for a</w:t>
            </w:r>
          </w:p>
        </w:tc>
        <w:tc>
          <w:tcPr>
            <w:tcW w:w="4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578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in our Series A common stock.</w:t>
            </w:r>
          </w:p>
        </w:tc>
        <w:tc>
          <w:tcPr>
            <w:tcW w:w="0" w:type="dxa"/>
            <w:vAlign w:val="bottom"/>
          </w:tcPr>
          <w:p>
            <w:pPr>
              <w:spacing w:after="0"/>
              <w:rPr>
                <w:sz w:val="1"/>
                <w:szCs w:val="1"/>
                <w:color w:val="auto"/>
              </w:rPr>
            </w:pPr>
          </w:p>
        </w:tc>
      </w:tr>
      <w:tr>
        <w:trPr>
          <w:trHeight w:val="179"/>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Certain U.S. federal income tax consequences to non-U.S. holders</w:t>
            </w:r>
          </w:p>
        </w:tc>
        <w:tc>
          <w:tcPr>
            <w:tcW w:w="578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For a discussion of certain U.S. federal income tax consequences that may be relevant to</w:t>
            </w:r>
          </w:p>
        </w:tc>
        <w:tc>
          <w:tcPr>
            <w:tcW w:w="0" w:type="dxa"/>
            <w:vAlign w:val="bottom"/>
          </w:tcPr>
          <w:p>
            <w:pPr>
              <w:spacing w:after="0"/>
              <w:rPr>
                <w:sz w:val="1"/>
                <w:szCs w:val="1"/>
                <w:color w:val="auto"/>
              </w:rPr>
            </w:pPr>
          </w:p>
        </w:tc>
      </w:tr>
      <w:tr>
        <w:trPr>
          <w:trHeight w:val="143"/>
        </w:trPr>
        <w:tc>
          <w:tcPr>
            <w:tcW w:w="4380" w:type="dxa"/>
            <w:vAlign w:val="bottom"/>
          </w:tcPr>
          <w:p>
            <w:pPr>
              <w:spacing w:after="0"/>
              <w:rPr>
                <w:sz w:val="12"/>
                <w:szCs w:val="12"/>
                <w:color w:val="auto"/>
              </w:rPr>
            </w:pPr>
          </w:p>
        </w:tc>
        <w:tc>
          <w:tcPr>
            <w:tcW w:w="5780" w:type="dxa"/>
            <w:vAlign w:val="bottom"/>
            <w:gridSpan w:val="3"/>
          </w:tcPr>
          <w:p>
            <w:pPr>
              <w:ind w:left="680"/>
              <w:spacing w:after="0" w:line="143" w:lineRule="exact"/>
              <w:rPr>
                <w:sz w:val="20"/>
                <w:szCs w:val="20"/>
                <w:color w:val="auto"/>
              </w:rPr>
            </w:pPr>
            <w:r>
              <w:rPr>
                <w:rFonts w:ascii="Times New Roman" w:cs="Times New Roman" w:eastAsia="Times New Roman" w:hAnsi="Times New Roman"/>
                <w:sz w:val="14"/>
                <w:szCs w:val="14"/>
                <w:color w:val="auto"/>
              </w:rPr>
              <w:t>non-U.S. stockholders, see “Material U.S. Federal Income Tax Consequences to Non-U.S.</w:t>
            </w: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578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Holders of Our Series A Common Stock.”</w:t>
            </w:r>
          </w:p>
        </w:tc>
        <w:tc>
          <w:tcPr>
            <w:tcW w:w="0" w:type="dxa"/>
            <w:vAlign w:val="bottom"/>
          </w:tcPr>
          <w:p>
            <w:pPr>
              <w:spacing w:after="0"/>
              <w:rPr>
                <w:sz w:val="1"/>
                <w:szCs w:val="1"/>
                <w:color w:val="auto"/>
              </w:rPr>
            </w:pPr>
          </w:p>
        </w:tc>
      </w:tr>
      <w:tr>
        <w:trPr>
          <w:trHeight w:val="179"/>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Listing</w:t>
            </w:r>
          </w:p>
        </w:tc>
        <w:tc>
          <w:tcPr>
            <w:tcW w:w="578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Shares of our Series A common stock are listed on Nasdaq under the trading symbol</w:t>
            </w: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578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“PTRN.”</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520" w:right="180"/>
        <w:spacing w:after="0" w:line="283" w:lineRule="auto"/>
        <w:rPr>
          <w:sz w:val="20"/>
          <w:szCs w:val="20"/>
          <w:color w:val="auto"/>
        </w:rPr>
      </w:pPr>
      <w:r>
        <w:rPr>
          <w:rFonts w:ascii="Times New Roman" w:cs="Times New Roman" w:eastAsia="Times New Roman" w:hAnsi="Times New Roman"/>
          <w:sz w:val="14"/>
          <w:szCs w:val="14"/>
          <w:color w:val="auto"/>
        </w:rPr>
        <w:t>In this prospectus, unless otherwise indicated, the number of shares of our Series A and Series B common stock outstanding before and after this offering is based on 154,938,522 shares of our Series A common stock and 21,702,510 shares of our Series B common stock outstanding as of March 31, 2026, and does not reflect:</w:t>
      </w:r>
    </w:p>
    <w:p>
      <w:pPr>
        <w:spacing w:after="0" w:line="125" w:lineRule="exact"/>
        <w:rPr>
          <w:sz w:val="20"/>
          <w:szCs w:val="20"/>
          <w:color w:val="auto"/>
        </w:rPr>
      </w:pPr>
    </w:p>
    <w:p>
      <w:pPr>
        <w:ind w:left="1020" w:right="120" w:hanging="248"/>
        <w:spacing w:after="0" w:line="283"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5,401,733 shares of our Series A common stock that are issuable in connection with the settlement of outstanding RSUs issued pursuant to our 2019 Equity Incentive Plan (the “2019 Plan”);</w:t>
      </w:r>
    </w:p>
    <w:p>
      <w:pPr>
        <w:spacing w:after="0" w:line="125" w:lineRule="exact"/>
        <w:rPr>
          <w:rFonts w:ascii="Times New Roman" w:cs="Times New Roman" w:eastAsia="Times New Roman" w:hAnsi="Times New Roman"/>
          <w:sz w:val="14"/>
          <w:szCs w:val="14"/>
          <w:color w:val="auto"/>
        </w:rPr>
      </w:pPr>
    </w:p>
    <w:p>
      <w:pPr>
        <w:ind w:left="1020" w:right="120" w:hanging="248"/>
        <w:spacing w:after="0" w:line="283"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2,990,062 shares of our Series A common stock that are issuable in connection with the settlement of outstanding RSUs issued pursuant to our 2025 Equity Incentive Plan (the “2025 Plan”);</w:t>
      </w:r>
    </w:p>
    <w:p>
      <w:pPr>
        <w:spacing w:after="0" w:line="125" w:lineRule="exact"/>
        <w:rPr>
          <w:rFonts w:ascii="Times New Roman" w:cs="Times New Roman" w:eastAsia="Times New Roman" w:hAnsi="Times New Roman"/>
          <w:sz w:val="14"/>
          <w:szCs w:val="14"/>
          <w:color w:val="auto"/>
        </w:rPr>
      </w:pPr>
    </w:p>
    <w:p>
      <w:pPr>
        <w:ind w:left="1020" w:hanging="248"/>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16,319,629 shares of our Series A common stock reserved for future issuance under our 2025 Plan; and</w:t>
      </w:r>
    </w:p>
    <w:p>
      <w:pPr>
        <w:spacing w:after="0" w:line="175" w:lineRule="exact"/>
        <w:rPr>
          <w:rFonts w:ascii="Times New Roman" w:cs="Times New Roman" w:eastAsia="Times New Roman" w:hAnsi="Times New Roman"/>
          <w:sz w:val="14"/>
          <w:szCs w:val="14"/>
          <w:color w:val="auto"/>
        </w:rPr>
      </w:pPr>
    </w:p>
    <w:p>
      <w:pPr>
        <w:ind w:left="1020" w:hanging="248"/>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3,086,351 shares of our Series A common stock reserved for future issuance under our 2025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700"/>
          </w:cols>
          <w:pgMar w:left="300" w:top="125" w:right="8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4"/>
          <w:szCs w:val="14"/>
          <w:color w:val="auto"/>
        </w:rPr>
        <w:t>Investing in our Series A common stock involves a high degree of risk. You should carefully consider the risks and uncertainties described below, as well as those contained in our Annual Report on Form 10-K for the fiscal year ended December 31, 2025 and our Quarterly Report on Form 10-Q for the three months ended March 31, 2026, including the information set forth under the heading “Risk Factors,” which are incorporated by reference in this prospectus, before deciding to invest in shares of our common stock. If any of such risks actually occur, our business, results of operations, financial condition, cash flows, and prospects may be materially adversely affected. The risks and uncertainties described below are not the only risks and uncertainties that we face. Additional risks and uncertainties not presently known to us or that we currently deem immaterial may also materially and adversely affect our business, results of operations, and financial condition. In such case, the trading price of our Series A common stock could decline and you may lose all or part of your investment. The risks discussed below also include forward-looking statements, and our actual results may differ substantially from those discussed in these forward-looking statements. See “Special Note Regarding Forward-Looking Statements” in this prospectus.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Future sales of our Series A common stock in the public market could reduce the market price of our Series A common stock, and any additional capital raised by us through the sale of equity or convertible or exchangeable securities may dilute your ownership in us.</w:t>
      </w:r>
    </w:p>
    <w:p>
      <w:pPr>
        <w:spacing w:after="0" w:line="12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Sales of a substantial number of our shares in the public market could occur at any time after the expiration of the contractual lock-up period described in the “Underwriting” section of this prospectus. These sales, or the market perception that the holders of a large number of shares intend to sell shares, could significantly reduce the market price of the shares of our Series A common stock and the market price could decline below the public offering price. We cannot predict the effect, if any, that future public sales of these securities or the availability of these securities for sale will have on the market price of the shares of our Series A common stock. If the market price of the shares of our Series A common stock was to drop as a result, this might impede our ability to raise additional capital and might cause remaining stockholders to lose all or part of their investments.</w:t>
      </w:r>
    </w:p>
    <w:p>
      <w:pPr>
        <w:spacing w:after="0" w:line="14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Our co-founders are the holders of all of our outstanding shares of Series B common stock and our co-founders and their affiliated co-founder trusts are the holders of 74,856,239 shares of Series A common stock, collectively representing 54.7% of our outstanding shares, and our directors, executive officers and employees are the holders of 103,754,410 shares of Series A common stock, collectively representing 71.0% of our outstanding shares. Certain of these holders have agreed with the underwriters that, subject to limited exceptions, for a period from the date of this prospectus continuing through the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after the date of this prospectus, they will not directly or indirectly offer, sell, contract to sell, pledge, grant any option, right or warrant to purchase, purchase any option or contract to sell, lend or otherwise transfer or dispose of any share of Series A common stock or Series B common stock or any securities convertible into or exercisable or exchangeable for such shares, in any manner transfer all or a portion of the economic consequences associated with the ownership of our Series A common stock or Series B common stock or other securities or cause a registration statement or prospectus relating to shares of our Series A common stock or Series B common stock or other securities to be filed without the prior written consent of J.P. Morgan Securities LLC and Goldman Sachs &amp; Co. LLC, who may, in their sole discretion and at any time, release all or any portion of the shares subject to these lock-up agreements. Following the expiration of the lock-up period, these shares of Series A common stock, including the shares of Series A common stock issuable upon conversion of the Series B common stock, will be available for sale in the public markets subject to restrictions under applicable securities laws.</w:t>
      </w:r>
    </w:p>
    <w:p>
      <w:pPr>
        <w:spacing w:after="0" w:line="155"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4"/>
          <w:szCs w:val="14"/>
          <w:color w:val="auto"/>
        </w:rPr>
        <w:t>Further, we cannot predict the size of future issuances of our Series A common stock or the effect, if any, that future issuances and sales of our Series A common stock will have on the market price of our Series A common stock. Sales of substantial amounts of our shares, or the perception that such sales could occur, may adversely affect prevailing market prices for our Series A common stock.</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This prospectus contains forward-looking statements within the meaning of the federal securities laws, which are statements that involve substantial risks and uncertainties. Forward-looking statements generally relate to future events or our future financial or operating performance. All statements other than statements of historical fact included in this prospectus, including statements regarding our strategy, future operations, financial position, estimated revenues and losses, projected costs, prospects, plans and objectives of management are forward-looking statements.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When considering forward-looking statements, you should keep in mind the risk factors and other cautionary statements described under the heading “Risk Factors” included in this prospectus and those included within our Annual Report on Form 10-K for the year ended December 31, 2025 (the “Annual Report”) and Quarterly Report on Form 10-Q for the three months ended March 31, 2026, as filed with the Securities and Exchange Commission (“SEC”), incorporated by reference herein. Forward-looking statements contained in this prospectus may include, but are not limited to, statements about:</w:t>
      </w:r>
    </w:p>
    <w:p>
      <w:pPr>
        <w:spacing w:after="0" w:line="144" w:lineRule="exact"/>
        <w:rPr>
          <w:sz w:val="20"/>
          <w:szCs w:val="20"/>
          <w:color w:val="auto"/>
        </w:rPr>
      </w:pPr>
    </w:p>
    <w:p>
      <w:pPr>
        <w:ind w:left="500" w:hanging="243"/>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revenue, costs and other operating results;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size of our addressable market opportunity;</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growth rate of the markets in which we compete;</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grow existing and attract new brand partners;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and enhance our platform;</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launch and monetize incremental solutions;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into global geographies and marketplaces;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AI successfully in our current and future solutions and to participate effectively in evolving AI-driven commerce ecosystems;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capital expenditures and our estimates regarding our capital requirements;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investments in selling and marketing efforts;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effectively with existing competitors and new market entrants;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our senior management and our ability to identify, recruit and integrate strategic personnel hires;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provide a quality purchasing experience for our consumers;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purchase products from our brand partners (including expanding product selection);</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enhance and innovate our technology;</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investments in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00" w:top="12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trends and other macroeconomic factors, such as fluctuating interest rates and rising inflation, including the impact on consumer spending; and</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general, business and geopolitical conditions worldwide on our industry, business and results of operations.</w:t>
      </w:r>
    </w:p>
    <w:p>
      <w:pPr>
        <w:spacing w:after="0" w:line="176"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4"/>
          <w:szCs w:val="14"/>
          <w:color w:val="auto"/>
        </w:rPr>
        <w:t>We caution you that these forward-looking statements are subject to all of the risks and uncertainties incident to the business in which we operate, most of which are difficult to predict and many of which are beyond our control. These risks include, but are not limited to, the risks described or referenced under “Risk Factors” in this prospectus and in the documents incorporated by reference herein. Should one or more of such risks or uncertainties occur, or should underlying assumptions prove incorrect, our actual results and plans could differ materially from those expressed in any forward-looking statements. Some of these risks and uncertainties may in the future be amplified by a global crisis and/or any response to such a crisis and there may be additional risks that we consider immaterial or which are unknown. It is not possible to predict or identify all such risks.</w:t>
      </w:r>
    </w:p>
    <w:p>
      <w:pPr>
        <w:spacing w:after="0" w:line="141"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14"/>
          <w:szCs w:val="14"/>
          <w:color w:val="auto"/>
        </w:rPr>
        <w:t>All forward-looking statements, expressed or implied, included in this prospectus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1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and the documents incorporated by reference herein are based on information available to us at the time of such filing and current expectations, forecasts, assumptions and beliefs concerning future developments and their potential effects, and involve a number of judgments, risks and uncertainties. There can be no assurance that future developments affecting us will be those that we have anticipated.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00" w:top="12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We will not receive any proceeds from the sale of the shares of our Series A common stock offered by the selling stockholder (including any sales pursuant to the underwriters’ option to purchase additional shares from the selling stockholder). The selling stockholder will receive all of the proceeds from the sale of shares of our Series A common stock. We have agreed to pay certain expenses related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100"/>
          </w:cols>
          <w:pgMar w:left="300" w:top="12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w:t>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This prospectus relates to the resale by the selling stockholder named in this prospectus, an entity affiliated with a member of our board of directors, of 8,000,000 shares of our Series A common stock, assuming no exercise of the underwriters’ option to purchase additional shares. Pursuant to the amended and restated investors’ rights agreement, dated as of September 28, 2021 (“Investors’ Rights Agreement”), among us, the selling stockholder and certain other parties, we have agreed to file a registration statement with the SEC covering the resale of shares of our capital stock, and this registration statement has been filed pursuant to the Investors’ Rights Agreement.</w:t>
      </w:r>
    </w:p>
    <w:p>
      <w:pPr>
        <w:spacing w:after="0" w:line="14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The table below sets forth, to our knowledge, information concerning the beneficial ownership of our Series A common stock by the selling stockholder as of March 31, 2026. The information in the table below with respect to the selling stockholder has been obtained from the selling stockholder. The number of shares of our Series A common stock beneficially owned prior to the offering by the selling stockholder includes all Series A common stock beneficially held thereby as of March 31, 2026. The percentages of shares owned before the offering are based on 154,938,522 shares of our Series A common stock outstanding as of March 31, 2026.</w:t>
      </w:r>
    </w:p>
    <w:p>
      <w:pPr>
        <w:spacing w:after="0" w:line="141" w:lineRule="exact"/>
        <w:rPr>
          <w:sz w:val="20"/>
          <w:szCs w:val="20"/>
          <w:color w:val="auto"/>
        </w:rPr>
      </w:pPr>
    </w:p>
    <w:p>
      <w:pPr>
        <w:ind w:right="40" w:firstLine="35"/>
        <w:spacing w:after="0" w:line="261"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of the SEC, which generally provide that a person has beneficial ownership of a security if such person possesses sole or shared voting or investment power over that security or the right to acquire such power within 60 days. Unless otherwise indicated below, to our knowledge, the selling stockholder named in the table has sole voting and investment power with respect to the shares of our Series A common stock beneficially owned by it, except to the extent authority is shared by spouses under applicable law. The inclusion of any shares in this table does not constitute an admission of beneficial ownership for the selling stockholder named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Series A Common Stock</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060" w:type="dxa"/>
            <w:vAlign w:val="bottom"/>
            <w:gridSpan w:val="2"/>
          </w:tcPr>
          <w:p>
            <w:pPr>
              <w:ind w:left="960"/>
              <w:spacing w:after="0"/>
              <w:rPr>
                <w:sz w:val="20"/>
                <w:szCs w:val="20"/>
                <w:color w:val="auto"/>
              </w:rPr>
            </w:pPr>
            <w:r>
              <w:rPr>
                <w:rFonts w:ascii="Times New Roman" w:cs="Times New Roman" w:eastAsia="Times New Roman" w:hAnsi="Times New Roman"/>
                <w:sz w:val="11"/>
                <w:szCs w:val="11"/>
                <w:b w:val="1"/>
                <w:bCs w:val="1"/>
                <w:color w:val="auto"/>
              </w:rPr>
              <w:t>Series A Common Stock</w:t>
            </w: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gridSpan w:val="3"/>
            <w:vMerge w:val="continue"/>
          </w:tcPr>
          <w:p>
            <w:pPr>
              <w:spacing w:after="0" w:line="20" w:lineRule="exact"/>
              <w:rPr>
                <w:sz w:val="1"/>
                <w:szCs w:val="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Being Offered</w:t>
            </w:r>
          </w:p>
        </w:tc>
        <w:tc>
          <w:tcPr>
            <w:tcW w:w="80" w:type="dxa"/>
            <w:vAlign w:val="bottom"/>
            <w:vMerge w:val="restart"/>
          </w:tcPr>
          <w:p>
            <w:pPr>
              <w:spacing w:after="0" w:line="20" w:lineRule="exact"/>
              <w:rPr>
                <w:sz w:val="1"/>
                <w:szCs w:val="1"/>
                <w:color w:val="auto"/>
              </w:rPr>
            </w:pPr>
          </w:p>
        </w:tc>
        <w:tc>
          <w:tcPr>
            <w:tcW w:w="30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1"/>
                <w:szCs w:val="11"/>
                <w:b w:val="1"/>
                <w:bCs w:val="1"/>
                <w:color w:val="auto"/>
              </w:rPr>
              <w:t>Ownership After Offering</w:t>
            </w:r>
            <w:r>
              <w:rPr>
                <w:rFonts w:ascii="Times New Roman" w:cs="Times New Roman" w:eastAsia="Times New Roman" w:hAnsi="Times New Roman"/>
                <w:sz w:val="14"/>
                <w:szCs w:val="14"/>
                <w:b w:val="1"/>
                <w:bCs w:val="1"/>
                <w:color w:val="auto"/>
                <w:vertAlign w:val="superscript"/>
              </w:rPr>
              <w:t>(1)</w:t>
            </w:r>
          </w:p>
        </w:tc>
        <w:tc>
          <w:tcPr>
            <w:tcW w:w="0" w:type="dxa"/>
            <w:vAlign w:val="bottom"/>
          </w:tcPr>
          <w:p>
            <w:pPr>
              <w:spacing w:after="0" w:line="20" w:lineRule="exact"/>
              <w:rPr>
                <w:sz w:val="1"/>
                <w:szCs w:val="1"/>
                <w:color w:val="auto"/>
              </w:rPr>
            </w:pPr>
          </w:p>
        </w:tc>
      </w:tr>
      <w:tr>
        <w:trPr>
          <w:trHeight w:val="156"/>
        </w:trPr>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Ownership Before Offering</w:t>
            </w:r>
          </w:p>
        </w:tc>
        <w:tc>
          <w:tcPr>
            <w:tcW w:w="100" w:type="dxa"/>
            <w:vAlign w:val="bottom"/>
          </w:tcPr>
          <w:p>
            <w:pPr>
              <w:spacing w:after="0"/>
              <w:rPr>
                <w:sz w:val="13"/>
                <w:szCs w:val="13"/>
                <w:color w:val="auto"/>
              </w:rPr>
            </w:pPr>
          </w:p>
        </w:tc>
        <w:tc>
          <w:tcPr>
            <w:tcW w:w="152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06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 of Selling Stockholder</w:t>
            </w:r>
          </w:p>
        </w:tc>
        <w:tc>
          <w:tcPr>
            <w:tcW w:w="80" w:type="dxa"/>
            <w:vAlign w:val="bottom"/>
            <w:vMerge w:val="restart"/>
          </w:tcPr>
          <w:p>
            <w:pPr>
              <w:spacing w:after="0"/>
              <w:rPr>
                <w:sz w:val="8"/>
                <w:szCs w:val="8"/>
                <w:color w:val="auto"/>
              </w:rPr>
            </w:pPr>
          </w:p>
        </w:tc>
        <w:tc>
          <w:tcPr>
            <w:tcW w:w="1780" w:type="dxa"/>
            <w:vAlign w:val="bottom"/>
          </w:tcPr>
          <w:p>
            <w:pPr>
              <w:jc w:val="center"/>
              <w:ind w:right="201"/>
              <w:spacing w:after="0" w:line="98"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340" w:type="dxa"/>
            <w:vAlign w:val="bottom"/>
            <w:vMerge w:val="restart"/>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10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jc w:val="center"/>
              <w:ind w:right="141"/>
              <w:spacing w:after="0" w:line="98"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300" w:type="dxa"/>
            <w:vAlign w:val="bottom"/>
            <w:vMerge w:val="restart"/>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52"/>
        </w:trPr>
        <w:tc>
          <w:tcPr>
            <w:tcW w:w="33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78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3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3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40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color w:val="auto"/>
              </w:rPr>
              <w:t>Entities affiliated with KL Pattern Holdings LP</w:t>
            </w:r>
            <w:r>
              <w:rPr>
                <w:rFonts w:ascii="Times New Roman" w:cs="Times New Roman" w:eastAsia="Times New Roman" w:hAnsi="Times New Roman"/>
                <w:sz w:val="18"/>
                <w:szCs w:val="18"/>
                <w:color w:val="auto"/>
                <w:vertAlign w:val="superscript"/>
              </w:rPr>
              <w:t>(2)</w:t>
            </w:r>
          </w:p>
        </w:tc>
        <w:tc>
          <w:tcPr>
            <w:tcW w:w="17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4"/>
                <w:szCs w:val="14"/>
                <w:color w:val="auto"/>
              </w:rPr>
              <w:t>28,176,542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20,176,542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8" w:lineRule="exact"/>
        <w:rPr>
          <w:sz w:val="20"/>
          <w:szCs w:val="20"/>
          <w:color w:val="auto"/>
        </w:rPr>
      </w:pPr>
    </w:p>
    <w:p>
      <w:pPr>
        <w:ind w:left="400" w:hanging="382"/>
        <w:spacing w:after="0"/>
        <w:tabs>
          <w:tab w:leader="none" w:pos="4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2" w:lineRule="exact"/>
        <w:rPr>
          <w:sz w:val="20"/>
          <w:szCs w:val="20"/>
          <w:color w:val="auto"/>
        </w:rPr>
      </w:pPr>
    </w:p>
    <w:p>
      <w:pPr>
        <w:ind w:left="400" w:right="160" w:hanging="382"/>
        <w:spacing w:after="0" w:line="230" w:lineRule="auto"/>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sale of all of the shares offered by the selling stockholder pursuant to this prospectus and no exercise of the underwriters’ option to purchase additional shares, and that the selling stockholder does not buy or sell any additional shares of our common stock prior to the completion of the offering. If the underwriters exercise their option in full to purchase 1,200,000 additional shares from the selling stockholder, the Series A common stock ownership after the offering would be 18,976,542 and the percentage would be 12.2%.</w:t>
      </w:r>
    </w:p>
    <w:p>
      <w:pPr>
        <w:ind w:left="400" w:right="60" w:hanging="382"/>
        <w:spacing w:after="0" w:line="219" w:lineRule="auto"/>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27,874,286 shares of Series A common stock held by KL Pattern Holdings LP and 302,256 shares of Series A common stock held by KLC Fund I LP. Only KL Pattern Holdings LP is selling shares of Series A common stock in this offering. The management of KL Pattern Holdings LP and KLC Fund I LP is controlled by KLC Fund I GP LP (“KLC Fund GP”). KLC Fund I UGP LLC (“KLC Fund UGP”) is the general partner of KLC Fund GP. The management of KLC Fund UGP is controlled by its managing member, John Bailey. As such, Mr. Bailey may be deemed to have voting and dispositive power with respect to the shares held by KL Pattern Holdings LP and KLC Fund I LP. The address of the entities and individual mentioned in this footnote is c/o Knox Lane LP, 655 Montgomery Street, Suite 1905, San Francisco, California 94111.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8"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4"/>
          <w:szCs w:val="14"/>
          <w:color w:val="auto"/>
        </w:rPr>
        <w:t>Our authorized capital stock consists of 2,200,000,000 shares of Series A common stock, $0.001 par value per share, 100,000,000 shares of Series B common stock, $0.001 par value per share, and 200,000,000 shares of undesignated preferred stock, $0.001 par value per share. 154,938,522 shares of our Series A common stock and 21,702,510 shares of our Series B common stock were outstanding as of March 31, 2026.</w:t>
      </w:r>
    </w:p>
    <w:p>
      <w:pPr>
        <w:spacing w:after="0" w:line="136"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4"/>
          <w:szCs w:val="14"/>
          <w:color w:val="auto"/>
        </w:rPr>
        <w:t>Our board of directors is authorized, without stockholder approval except as required by the corporate governance requirements of The Nasdaq Stock Market LLC, to issue additional shares of our capital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Common Stock and Series B Common Stock</w:t>
      </w:r>
    </w:p>
    <w:p>
      <w:pPr>
        <w:spacing w:after="0" w:line="178"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4"/>
          <w:szCs w:val="14"/>
          <w:color w:val="auto"/>
        </w:rPr>
        <w:t>We have two series of authorized common stock: Series A common stock and Series B common stock. Other than as described below under the subsections titled “-Voting Rights” and “-Conversion”, the rights of our Series A and Series B common stock are identical.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78"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4"/>
          <w:szCs w:val="14"/>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7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Holders of our Series A common stock are entitled to one vote for each share, and holders of our Series B common stock are entitled to 20 votes per share, on all matters submitted to a vote of stockholders. The holders of our Series A common stock and Series B common stock generally vote together as a single class on all matters submitted to a vote of our stockholders, unless otherwise required by Delaware law or our amended and restated certificate of incorporation. If we were to seek to amend our amended and restated certificate of incorporation in a manner that alters or changes the powers, preferences or special rights of a series of a class of our capital stock in a manner that affected its holders adversely, but does not affect the entire class, Delaware law would require either holders of our Series A common stock or Series B common stock to vote separately as a single class to approve the proposed amendment.</w:t>
      </w:r>
    </w:p>
    <w:p>
      <w:pPr>
        <w:spacing w:after="0" w:line="14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We do not provide for cumulative voting for the election of directors in our amended and restated certificate of incorporation. Our amended and restated certificate of incorporation and amended and restated bylaws establish a classified board of directors that is divided into three classes with staggered three-year terms. Only the directors in one class are subject to election by a plurality of the votes cast at each annual meeting of our stockholders, with the directors in the other classes continuing for the remainder of their respective three-year terms.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17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Each outstanding share of Series B common stock is convertible at any time at the option of the holder into one share of Series A common stock. In addition, each share of Series B common stock will convert automatically into one share of Series A common stock on the earliest to occur of: (i) any transfer, whether or not for value, except for certain permitted transfers described in our amended and restated certificate of incorporation, including transfers to either David Wright or Melanie Alder (each, a “co-founder” and together, the “co-founders”) or trusts for the benefit of a holder of Series B common stock or persons other than the stockholder so long as such stockholder has sole dispositive power and exclusive voting control with respect to the shares of Series B common stock held by such trust; (ii) in the case of a stockholder who is a natural person, the death or incapacity of such stockholder, provided that in the case of the death or incapacity of a co-founder, the shares of Series B common stock held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40"/>
          </w:cols>
          <w:pgMar w:left="300" w:top="12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such co-founder will not convert into Series A common stock for so long as the living co-founder retains voting control over such shares of Series B common stock; (iii) the date specified by affirmative vote of the holders of at least 66-2/3% of the outstanding shares of Series B common stock, voting as a single class, and (iv) a Founders Triggering Event. A “Founders Triggering Event” is the first to occur of either of (A) the first date upon which, for both co-founders, the aggregate number of shares of our capital stock and shares underlying any securities (including RSUs, options, or other convertible instruments) held by a co-founder and their permitted transferees represent less than 30% of the Series B common stock held by such co-founder and their permitted transferees as of immediately following the completion of our initial public offering; or (B) the occurrence of a Founders Separation Event for both co-founders. A “Founders Separation Event” means, with respect to a co-founder, (a) the first occurrence of both of (i) such co-founder is no longer actively involved in the business by providing services to us as an officer, employee, consultant or otherwise, and (ii) such co-founder is no longer a director as a result of such co-founder’s voluntary resignation from our board of directors or as a result of a written request or agreement by such co-founder not to be renominated as a director at a meeting of stockholders, or (b) the death or incapacity of such co-founder. Once converted into Series A common stock, the Series B common stock will not be reissued.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 Preemptive or Similar Rights</w:t>
      </w:r>
    </w:p>
    <w:p>
      <w:pPr>
        <w:spacing w:after="0" w:line="178"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4"/>
          <w:szCs w:val="14"/>
          <w:color w:val="auto"/>
        </w:rPr>
        <w:t>Our Series A common stock and Series B common stock are not entitled to preemptive rights and are not subject to conversion (except, with respect to the Series B common stock, as noted above), redemption or sinking fund provisions.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Right to Receive Liquidation Distributions</w:t>
      </w:r>
    </w:p>
    <w:p>
      <w:pPr>
        <w:spacing w:after="0" w:line="17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4"/>
          <w:szCs w:val="14"/>
          <w:color w:val="auto"/>
        </w:rPr>
        <w:t>If we become subject to a liquidation, dissolution or winding-up, the assets legally available for distribution to our stockholders would be distributable ratably among the holders of our Series A common stock and Series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1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Our board of directors is authorized, subject to limitations prescribed by Delaware law, to issue preferred stock in one or more classes, to establish from time to time the number of shares to be included in each class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class of preferred stock, but not below the number of shares of that class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Series A common stock and the voting and other rights of the holders of our Series A common stock and Series B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Co-Founder Voting Agreement</w:t>
      </w:r>
    </w:p>
    <w:p>
      <w:pPr>
        <w:spacing w:after="0" w:line="178"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4"/>
          <w:szCs w:val="14"/>
          <w:color w:val="auto"/>
        </w:rPr>
        <w:t>Our co-founders entered into a co-founder voting agreement in connection with our initial public offering. The co-founder voting agreement provides that Series B common stock held by the co-founders is subject to a voting proxy given by each co-founder and its affiliated entities (other than the co-founders’ affiliated family trusts) to the other co-founder, and an agreement by each co-founder to vote its shares (a) in favor of the election or re-election of each of the co-founders that have been duly nominated for election or re-election as members of our board of directors at each annual or special meeting of stockholders at which directors are to be elected, (b) against the removal of each co-founder at any annual meeting or special meeting of stockholders at which any co-founder is to be removed from our board of directors, and (c) at the written direction of the applicable co-founder proxy holder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60"/>
          </w:cols>
          <w:pgMar w:left="300" w:top="1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4"/>
          <w:szCs w:val="14"/>
          <w:color w:val="auto"/>
        </w:rPr>
        <w:t>defined below) at any annual or special meeting of stockholders with respect to any other matters properly brought before such meeting for which their shares are entitled to vote. The applicable “co-founder proxy holder” shall be either Mr. Wright or Ms. Alder in alternative annual periods during which any applicable annual or special meeting is held. Nothing in the co-founder voting agreement requires either co-founder to serve as a director or stand for re-election.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co-founder voting agreement may include future affiliated entities of the co-founders which may hold Series A common stock or Series B common stock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not a party to the co-founder voting agreement, and the co-founders can modify or terminate the co-founder voting agreement at any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w:t>
      </w:r>
    </w:p>
    <w:p>
      <w:pPr>
        <w:spacing w:after="0" w:line="1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Certain holders of our Series A common stock, including the selling stockholder named in this prospectus, are entitled to rights with respect to the registration of their shares under the Securities Act of 1933, as amended (the “Securities Act”). These registration rights are contained in the Investors’ Rights Agreement, and this offering is being made pursuant to a demand registration by the selling stockholder under the Investors’ Rights Agreement. We, along with certain holders of our Series A common stock, are parties to the Investors’ Rights Agreement. The registration rights set forth in the Investors’ Rights Agreement will expire on September 22, 2030, or, with respect to any particular stockholder, when such stockholder is able to sell all of its shares pursuant to Rule 144 of</w:t>
      </w:r>
    </w:p>
    <w:p>
      <w:pPr>
        <w:spacing w:after="0" w:line="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4"/>
          <w:szCs w:val="14"/>
          <w:color w:val="auto"/>
        </w:rPr>
        <w:t>the Securities Act. We will pay the registration expenses (other than underwriting discounts, selling commissions and stock transfer taxes) of the holders of the shares registered pursuant to the registrations described below, including the reasonable fees, not to exceed $100,000, of one counsel for the selling stockholders. In an underwritten offering, the underwriters have the right, subject to specified conditions, to limit the number of shares such holders may include.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Demand Registration Rights on Form S-1</w:t>
      </w:r>
    </w:p>
    <w:p>
      <w:pPr>
        <w:spacing w:after="0" w:line="17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Certain holders of our Series A common stock are entitled to certain demand registration rights. The holders of at least a majority of these shares outstanding may request that we register the offer and sale of their shares on a registration statement on Form S-1, so long as the request covers at least 40% of the shares registrable pursuant to the Investors’ Rights Agreement or such lesser percentage if the anticipated aggregate offering price, net of selling expenses, would exceed $10.0 million, subject to certain limitations. We are obligated to effect only one other such registration in addition to this offering. If we determine that it would be materially detrimental to us and our stockholders to effect such a demand registration, we have the right to defer such registration, not more than twice in any 12-month period, for a period of not more than 60 days. Additionally, we will not be required to effect a demand registration on Form S-1 during the period beginning 60 days before our good faith estimate of the filing of, and ending on the date 180 days following the effectiveness of, a registration statement on Form S-1 relating to the public offering of our common stock. Additionally, we will not be required to effect a demand registration on Form S-1 if the requesting stockholders propose to dispose of shares of our Series A common stock that may be immediately registered pursuant to a demand registration on Form S-3 (as described in the subsection titled “-Demand Registration Rights on Form S-3” below).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Piggyback Registration Rights</w:t>
      </w:r>
    </w:p>
    <w:p>
      <w:pPr>
        <w:spacing w:after="0" w:line="17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If we propose to register the offer and sale of our common stock under the Securities Act, in connection with the public offering of such common stock, certain holders of our Series A common stock are entitled to certain “piggyback” registration rights allowing such holders to include their shares in such registration, subject to certain marketing and other limitations. As a result, whenever we propose to file a registration statement under the Securities Act, other than with respect to (i) a registration relating to the sale or grant of securities to our employees or a subsidiary pursuant to any stock option, stock purchase, equity incentive or similar plan, (ii) a registration relating to a transaction under Rule 145 of the Securities Act; (iii) a registration on any form that does not include substantially the same information as would be required to be included in a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40"/>
          </w:cols>
          <w:pgMar w:left="300" w:top="12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4"/>
          <w:szCs w:val="14"/>
          <w:color w:val="auto"/>
        </w:rPr>
        <w:t>covering the sale of our Series A common stock; or (iv)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Demand Registration Rights on Form S-3</w:t>
      </w:r>
    </w:p>
    <w:p>
      <w:pPr>
        <w:spacing w:after="0" w:line="17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4"/>
          <w:szCs w:val="14"/>
          <w:color w:val="auto"/>
        </w:rPr>
        <w:t>Certain holders of our Series A common stock are entitled to certain Form S-3 demand registration rights. The holders of at least 20% of these shares then outstanding may request that we register the offer and sale of their shares on a registration statement on Form S-3 if we are eligible to file a registration statement on Form S-3 so long as the request covers at least that number of shares with an anticipated aggregate offering price, net of selling expenses, of at least $3.0 million, subject to certain limitations. These stockholders may make an unlimited number of requests for registration on Form S-3; however, we will not be required to effect a registration on Form S-3 if we have effected one such registration in the 12-month period immediately preceding the date of such request. If we determine that it would be materially detrimental to our stockholders to effect such a registration, we have the right to defer such registration, not more than twice in any 12-month period, for a period of not more than 60 days. Additionally, we will not be required to effect a demand registration on Form S-3 during the period beginning 30 days before our good faith estimate of the filing of, and ending on the date 90 days following the effectiveness of, a registration statement on Form S-3 relating to the public offering of our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Anti-Takeover Provisions</w:t>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Certain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Delaware Law</w:t>
      </w:r>
    </w:p>
    <w:p>
      <w:pPr>
        <w:spacing w:after="0" w:line="17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are governed by the provisions of Section 203 of the Delaware General Corporation Law (“DGCL”).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Certificate of Incorporation and Amended and Restated Bylaws</w:t>
      </w:r>
    </w:p>
    <w:p>
      <w:pPr>
        <w:spacing w:after="0" w:line="178"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include a number of provisions that could deter hostile takeovers or delay or prevent changes in control of our board of directors or management team, including the following:</w:t>
      </w:r>
    </w:p>
    <w:p>
      <w:pPr>
        <w:spacing w:after="0" w:line="123" w:lineRule="exact"/>
        <w:rPr>
          <w:sz w:val="20"/>
          <w:szCs w:val="20"/>
          <w:color w:val="auto"/>
        </w:rPr>
      </w:pPr>
    </w:p>
    <w:p>
      <w:pPr>
        <w:ind w:left="500" w:right="40" w:hanging="243"/>
        <w:spacing w:after="0" w:line="286" w:lineRule="auto"/>
        <w:tabs>
          <w:tab w:leader="none" w:pos="49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Dual-Series Stock</w:t>
      </w:r>
      <w:r>
        <w:rPr>
          <w:rFonts w:ascii="Times New Roman" w:cs="Times New Roman" w:eastAsia="Times New Roman" w:hAnsi="Times New Roman"/>
          <w:sz w:val="14"/>
          <w:szCs w:val="14"/>
          <w:color w:val="auto"/>
        </w:rPr>
        <w:t>. Our amended and restated certificate of incorporation provides for a dual-series common stock structure, which provides our co-founders with significant influence over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matters requiring stockholder approval, including the election of directors and significant corporate transactions, such as a merger or other sale of our company or our assets.</w:t>
      </w:r>
    </w:p>
    <w:p>
      <w:pPr>
        <w:spacing w:after="0" w:line="121" w:lineRule="exact"/>
        <w:rPr>
          <w:rFonts w:ascii="Times New Roman" w:cs="Times New Roman" w:eastAsia="Times New Roman" w:hAnsi="Times New Roman"/>
          <w:sz w:val="14"/>
          <w:szCs w:val="14"/>
          <w:color w:val="auto"/>
        </w:rPr>
      </w:pPr>
    </w:p>
    <w:p>
      <w:pPr>
        <w:ind w:left="500" w:right="80" w:hanging="243"/>
        <w:spacing w:after="0" w:line="286" w:lineRule="auto"/>
        <w:tabs>
          <w:tab w:leader="none" w:pos="49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Board of Directors Vacancies</w:t>
      </w:r>
      <w:r>
        <w:rPr>
          <w:rFonts w:ascii="Times New Roman" w:cs="Times New Roman" w:eastAsia="Times New Roman" w:hAnsi="Times New Roman"/>
          <w:sz w:val="14"/>
          <w:szCs w:val="14"/>
          <w:color w:val="auto"/>
        </w:rPr>
        <w:t>. Our amended and restated certificate of incorporation authorizes our co-founders and our board of directors to fill vacant directorships, including newly created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seats.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60"/>
          </w:cols>
          <w:pgMar w:left="300" w:top="12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500" w:right="380"/>
        <w:spacing w:after="0" w:line="267" w:lineRule="auto"/>
        <w:rPr>
          <w:sz w:val="20"/>
          <w:szCs w:val="20"/>
          <w:color w:val="auto"/>
        </w:rPr>
      </w:pPr>
      <w:r>
        <w:rPr>
          <w:rFonts w:ascii="Times New Roman" w:cs="Times New Roman" w:eastAsia="Times New Roman" w:hAnsi="Times New Roman"/>
          <w:sz w:val="14"/>
          <w:szCs w:val="14"/>
          <w:color w:val="auto"/>
        </w:rPr>
        <w:t>the number of directors constituting our board of directors is permitted to be set only by a resolution adopted by a majority vote of our entire board of directors. These provisions would prevent another party from increasing the size of our board of directors and then gaining control of our board of directors by filling the resulting vacancies with its own nominees. These provisions will make it more difficult to change the composition of our board of directors and promote continuity of management.</w:t>
      </w:r>
    </w:p>
    <w:p>
      <w:pPr>
        <w:spacing w:after="0" w:line="134" w:lineRule="exact"/>
        <w:rPr>
          <w:sz w:val="20"/>
          <w:szCs w:val="20"/>
          <w:color w:val="auto"/>
        </w:rPr>
      </w:pPr>
    </w:p>
    <w:p>
      <w:pPr>
        <w:ind w:left="500" w:right="20" w:hanging="243"/>
        <w:spacing w:after="0" w:line="268" w:lineRule="auto"/>
        <w:tabs>
          <w:tab w:leader="none" w:pos="4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Classified Board</w:t>
      </w:r>
      <w:r>
        <w:rPr>
          <w:rFonts w:ascii="Times New Roman" w:cs="Times New Roman" w:eastAsia="Times New Roman" w:hAnsi="Times New Roman"/>
          <w:sz w:val="14"/>
          <w:szCs w:val="14"/>
          <w:color w:val="auto"/>
        </w:rPr>
        <w:t>. Our amended and restated certificate of incorporation and amended and restated bylaws provide that our board of directors is classified into three classes of directors. A third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party may be discouraged from making a tender offer or otherwise attempting to obtain control of us as it is more difficult and time consuming for stockholders to replace a majority of the directors on a classified board of directors.</w:t>
      </w:r>
    </w:p>
    <w:p>
      <w:pPr>
        <w:spacing w:after="0" w:line="134" w:lineRule="exact"/>
        <w:rPr>
          <w:rFonts w:ascii="Times New Roman" w:cs="Times New Roman" w:eastAsia="Times New Roman" w:hAnsi="Times New Roman"/>
          <w:sz w:val="14"/>
          <w:szCs w:val="14"/>
          <w:color w:val="auto"/>
        </w:rPr>
      </w:pPr>
    </w:p>
    <w:p>
      <w:pPr>
        <w:ind w:left="500" w:hanging="243"/>
        <w:spacing w:after="0" w:line="256" w:lineRule="auto"/>
        <w:tabs>
          <w:tab w:leader="none" w:pos="4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Stockholder Action; Special Meeting of Stockholders. </w:t>
      </w:r>
      <w:r>
        <w:rPr>
          <w:rFonts w:ascii="Times New Roman" w:cs="Times New Roman" w:eastAsia="Times New Roman" w:hAnsi="Times New Roman"/>
          <w:sz w:val="14"/>
          <w:szCs w:val="14"/>
          <w:color w:val="auto"/>
        </w:rPr>
        <w:t>Our amended and restated certificate of incorporation provides that if our co-founders collectively own greater than 50% of the voting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power of our outstanding capital stock, (i) our stockholders shall have the right to take action by written consent to the extent the written consent sets forth the action so taken and is signed by the holders of outstanding stock having not less than the minimum number of votes that would be necessary to authorize or take such action at a meeting; and (ii) a special meeting of our stockholders may be called by holders of at least 50% of the voting power of our outstanding capital stock. Once our co-founders no longer control 50% of the voting power of our capital stock, special meetings of our stockholders can be called only by our board of directors or the Chairman of our board of directors (prior to such time, special meetings of our stockholders shall be called by our board of directors, the Chairman of our board of directors or our Secretary at the request of our co-founders who hold more than 50% of the voting power of our outstanding capital stock).</w:t>
      </w:r>
    </w:p>
    <w:p>
      <w:pPr>
        <w:spacing w:after="0" w:line="144" w:lineRule="exact"/>
        <w:rPr>
          <w:rFonts w:ascii="Times New Roman" w:cs="Times New Roman" w:eastAsia="Times New Roman" w:hAnsi="Times New Roman"/>
          <w:sz w:val="14"/>
          <w:szCs w:val="14"/>
          <w:color w:val="auto"/>
        </w:rPr>
      </w:pPr>
    </w:p>
    <w:p>
      <w:pPr>
        <w:ind w:left="500" w:right="20" w:hanging="243"/>
        <w:spacing w:after="0" w:line="259" w:lineRule="auto"/>
        <w:tabs>
          <w:tab w:leader="none" w:pos="4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Advance Notice Requirements for Stockholder Proposals and Director Nominations</w:t>
      </w:r>
      <w:r>
        <w:rPr>
          <w:rFonts w:ascii="Times New Roman" w:cs="Times New Roman" w:eastAsia="Times New Roman" w:hAnsi="Times New Roman"/>
          <w:sz w:val="14"/>
          <w:szCs w:val="14"/>
          <w:color w:val="auto"/>
        </w:rPr>
        <w:t>. Our amended and restated bylaws provide advance notice procedures for stockholders seeking to bring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41" w:lineRule="exact"/>
        <w:rPr>
          <w:rFonts w:ascii="Times New Roman" w:cs="Times New Roman" w:eastAsia="Times New Roman" w:hAnsi="Times New Roman"/>
          <w:sz w:val="14"/>
          <w:szCs w:val="14"/>
          <w:color w:val="auto"/>
        </w:rPr>
      </w:pPr>
    </w:p>
    <w:p>
      <w:pPr>
        <w:ind w:left="500" w:right="580" w:hanging="243"/>
        <w:spacing w:after="0" w:line="286" w:lineRule="auto"/>
        <w:tabs>
          <w:tab w:leader="none" w:pos="4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Cumulative Voting</w:t>
      </w:r>
      <w:r>
        <w:rPr>
          <w:rFonts w:ascii="Times New Roman" w:cs="Times New Roman" w:eastAsia="Times New Roman" w:hAnsi="Times New Roman"/>
          <w:sz w:val="14"/>
          <w:szCs w:val="14"/>
          <w:color w:val="auto"/>
        </w:rPr>
        <w:t>. The DGCL provides that stockholders are not entitled to cumulate votes in the election of directors unless a corporation’s certificate of incorporation provides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otherwise. Our amended and restated certificate of incorporation does not provide for cumulative voting.</w:t>
      </w:r>
    </w:p>
    <w:p>
      <w:pPr>
        <w:spacing w:after="0" w:line="121" w:lineRule="exact"/>
        <w:rPr>
          <w:rFonts w:ascii="Times New Roman" w:cs="Times New Roman" w:eastAsia="Times New Roman" w:hAnsi="Times New Roman"/>
          <w:sz w:val="14"/>
          <w:szCs w:val="14"/>
          <w:color w:val="auto"/>
        </w:rPr>
      </w:pPr>
    </w:p>
    <w:p>
      <w:pPr>
        <w:ind w:left="500" w:right="100" w:hanging="243"/>
        <w:spacing w:after="0" w:line="286" w:lineRule="auto"/>
        <w:tabs>
          <w:tab w:leader="none" w:pos="4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Removal of Directors</w:t>
      </w:r>
      <w:r>
        <w:rPr>
          <w:rFonts w:ascii="Times New Roman" w:cs="Times New Roman" w:eastAsia="Times New Roman" w:hAnsi="Times New Roman"/>
          <w:sz w:val="14"/>
          <w:szCs w:val="14"/>
          <w:color w:val="auto"/>
        </w:rPr>
        <w:t>. Our amended and restated certificate of incorporation provides that if our co-founders collectively own greater than 50% of the voting power of our outstanding capital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a majority of our stockholders shall have the right to remove directors with or without cause.</w:t>
      </w:r>
    </w:p>
    <w:p>
      <w:pPr>
        <w:spacing w:after="0" w:line="121" w:lineRule="exact"/>
        <w:rPr>
          <w:rFonts w:ascii="Times New Roman" w:cs="Times New Roman" w:eastAsia="Times New Roman" w:hAnsi="Times New Roman"/>
          <w:sz w:val="14"/>
          <w:szCs w:val="14"/>
          <w:color w:val="auto"/>
        </w:rPr>
      </w:pPr>
    </w:p>
    <w:p>
      <w:pPr>
        <w:ind w:left="500" w:right="200" w:hanging="243"/>
        <w:spacing w:after="0" w:line="268" w:lineRule="auto"/>
        <w:tabs>
          <w:tab w:leader="none" w:pos="4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Issuance of Undesignated Preferred Stock</w:t>
      </w:r>
      <w:r>
        <w:rPr>
          <w:rFonts w:ascii="Times New Roman" w:cs="Times New Roman" w:eastAsia="Times New Roman" w:hAnsi="Times New Roman"/>
          <w:sz w:val="14"/>
          <w:szCs w:val="14"/>
          <w:color w:val="auto"/>
        </w:rPr>
        <w:t>. Our board of directors has the authority, without further action by the stockholders, to issue up to 200,000,000 shares of undesignated preferred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134" w:lineRule="exact"/>
        <w:rPr>
          <w:rFonts w:ascii="Times New Roman" w:cs="Times New Roman" w:eastAsia="Times New Roman" w:hAnsi="Times New Roman"/>
          <w:sz w:val="14"/>
          <w:szCs w:val="14"/>
          <w:color w:val="auto"/>
        </w:rPr>
      </w:pPr>
    </w:p>
    <w:p>
      <w:pPr>
        <w:ind w:left="500" w:right="60" w:hanging="243"/>
        <w:spacing w:after="0" w:line="268" w:lineRule="auto"/>
        <w:tabs>
          <w:tab w:leader="none" w:pos="4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Exclusive Forum</w:t>
      </w:r>
      <w:r>
        <w:rPr>
          <w:rFonts w:ascii="Times New Roman" w:cs="Times New Roman" w:eastAsia="Times New Roman" w:hAnsi="Times New Roman"/>
          <w:sz w:val="14"/>
          <w:szCs w:val="14"/>
          <w:color w:val="auto"/>
        </w:rPr>
        <w:t>. Our amended and restated bylaws provide that, unless we consent in writing to the selection of an alternative forum, the Court of Chancery of the State of Delaware shall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sole and exclusive forum for state law claims for (i) any derivative action or proceeding brought on our behalf, (ii) any action asserting a claim of, or a claim based on, a breach of a fiduciary duty owed by any of our current or former directors, officers and employees to us or our stockholders, (iii) any action asserting a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60"/>
          </w:cols>
          <w:pgMar w:left="300" w:top="1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0"/>
        <w:spacing w:after="0" w:line="253" w:lineRule="auto"/>
        <w:rPr>
          <w:sz w:val="20"/>
          <w:szCs w:val="20"/>
          <w:color w:val="auto"/>
        </w:rPr>
      </w:pPr>
      <w:r>
        <w:rPr>
          <w:rFonts w:ascii="Times New Roman" w:cs="Times New Roman" w:eastAsia="Times New Roman" w:hAnsi="Times New Roman"/>
          <w:sz w:val="14"/>
          <w:szCs w:val="14"/>
          <w:color w:val="auto"/>
        </w:rPr>
        <w:t>against us, or any current or former director, officer or employee of ours, arising out of or pursuant to the DGCL, our amended and restated certificate of incorporation or our amended and restated bylaws or as to which the DGCL confers jurisdiction on the Court of Chancery of the State of Delaware or (iv) any action asserting a claim governed by the internal affairs doctrine; provided, however, that this provision does not apply to any causes of action arising under the Securities Act or the Securities Exchange Act of 1934, as amended (“Exchange Act”), or to any claim for which the federal courts have exclusive jurisdiction. In addition, our amended and restated bylaws provide that, unless we consent in writing to the selection of an alternative forum, the federal district courts of the United States will be the sole and exclusive forum for resolving any complaint asserting a cause of action arising under the Securities Act, the Exchange Act or the respective rules and regulations promulgated thereunder (the “Federal Forum Provision”). To the fullest extent permitted by law, any person or entity purchasing or otherwise acquiring any interest in our securities will be deemed to have notice of and to have consented to these forum provisions. These forum provisions may impose additional litigation costs on stockholders in pursuing any such claims, particularly if the stockholders do not reside in or near the State of Delaware. Additionally, the forum selection clause that is in our amended and restated bylaws may limit our stockholders’ ability to bring a claim in a judicial forum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 state courts have upheld the validity of the federal forum selection provisions purporting to require claims under the Securities Act be brought in federal court, there is uncertainty as to whether other courts will enforce our Federal Forum Provision. If the Federal Forum Provision is found to be unenforceable in an action, we may incur additional costs associated with resolving such an action.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46" w:lineRule="exact"/>
        <w:rPr>
          <w:sz w:val="20"/>
          <w:szCs w:val="20"/>
          <w:color w:val="auto"/>
        </w:rPr>
      </w:pPr>
    </w:p>
    <w:p>
      <w:pPr>
        <w:ind w:left="500" w:hanging="243"/>
        <w:spacing w:after="0" w:line="253" w:lineRule="auto"/>
        <w:tabs>
          <w:tab w:leader="none" w:pos="4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Conflicts of Interest</w:t>
      </w:r>
      <w:r>
        <w:rPr>
          <w:rFonts w:ascii="Times New Roman" w:cs="Times New Roman" w:eastAsia="Times New Roman" w:hAnsi="Times New Roman"/>
          <w:sz w:val="14"/>
          <w:szCs w:val="14"/>
          <w:color w:val="auto"/>
        </w:rPr>
        <w:t>. The DGCL permits corporations to adopt provisions renouncing any interest or expectancy in certain opportunities that are presented to the corporation or its officers,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directors or stockholders. Our amended and restated certificate of incorporation, to the maximum extent permitted from time to time by the DGCL, renounces any interest or expectancy that we have in, or right to be offered an opportunity to participate in, specified business opportunities that are from time to time presented to Knox Lane LP or its affiliates or any of its directors, principals, members, officers, associated funds, employees, and/or other representatives, including any of the foregoing who serve as our directors who are not our employees, which we collectively refer to as Identified Persons. Our amended and restated certificate of incorporation provides that, to the fullest extent permitted by law, Knox Lane LP nor any of its affiliates or Identified Persons will have any duty to refrain from (i) engaging in a corporate opportunity in the same or similar lines of business in which we or our affiliates now engage or propose to engage or (ii) otherwise competing with us or our affiliates. In addition, in the event that any Identified Person acquires knowledge of a potential transaction or other matter or business opportunity which may be a corporate opportunity for itself, herself or himself or for us or our affiliates, such person, to the fullest extent permitted by law, will have no fiduciary duty or other duty to communicate, present or offer such transaction or business opportunity to us or any of our affiliates and will not be liable to us, our stockholders or our affiliates for breach of any fiduciary duty or other duty as a stockholder, director or officer of our company solely by reason such person pursues or acquires such corporate opportunity for itself, herself or himself, offers or directs such corporate opportunity to another person, or does not present such corporate opportunity to us or our affiliates. Our amended and restated certificate of incorporation does not renounce our interest in any corporate opportunity that is expressly offered to any of our directors or officers in writing solely in his or her capacity as a director or officer of our company. No corporate opportunity will be deemed to be a potential corporate opportunity for us if it is a business opportunity our company is not financially or legally able or contractually permitted to undertake, or that is, from its nature, not in the line of our company’s business or is of no practical advantage to us or that is one in which our company has no interest or reasonable expectancy.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60"/>
          </w:cols>
          <w:pgMar w:left="300" w:top="1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 agent and registrar for our Series A common stock and Series B common stock is Computershare Inc. The transfer agent’s address is 150 Royall St, Canton, MA 02021.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Listing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Series A common stock is listed on the Nasdaq Global Select Market under the symbol “PTRN”.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60"/>
          </w:cols>
          <w:pgMar w:left="300" w:top="125" w:right="1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 TO NON-U.S. HOLDERS OF OUR SERIES A COMMON STOCK</w:t>
      </w:r>
    </w:p>
    <w:p>
      <w:pPr>
        <w:spacing w:after="0" w:line="178"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4"/>
          <w:szCs w:val="14"/>
          <w:color w:val="auto"/>
        </w:rPr>
        <w:t>The following is a general discussion of certain material U.S. federal income tax consequences relating to the ownership and disposition of our Series A common stock by a non-U.S. holder. For purposes of this discussion, the term “non-U.S. holder” means a beneficial owner of our Series A common stock that is not, for U.S. federal income tax purposes:</w:t>
      </w:r>
    </w:p>
    <w:p>
      <w:pPr>
        <w:spacing w:after="0" w:line="125" w:lineRule="exact"/>
        <w:rPr>
          <w:sz w:val="20"/>
          <w:szCs w:val="20"/>
          <w:color w:val="auto"/>
        </w:rPr>
      </w:pPr>
    </w:p>
    <w:p>
      <w:pPr>
        <w:ind w:left="500" w:hanging="243"/>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75" w:lineRule="exact"/>
        <w:rPr>
          <w:rFonts w:ascii="Times New Roman" w:cs="Times New Roman" w:eastAsia="Times New Roman" w:hAnsi="Times New Roman"/>
          <w:sz w:val="14"/>
          <w:szCs w:val="14"/>
          <w:color w:val="auto"/>
        </w:rPr>
      </w:pPr>
    </w:p>
    <w:p>
      <w:pPr>
        <w:ind w:left="500" w:right="80" w:hanging="243"/>
        <w:spacing w:after="0" w:line="283" w:lineRule="auto"/>
        <w:tabs>
          <w:tab w:leader="none" w:pos="4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treated as a corporation for U.S. federal income tax purposes, created or organized in or under the laws of the United States or of any political subdivision of the United States;</w:t>
      </w:r>
    </w:p>
    <w:p>
      <w:pPr>
        <w:spacing w:after="0" w:line="12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175" w:lineRule="exact"/>
        <w:rPr>
          <w:rFonts w:ascii="Times New Roman" w:cs="Times New Roman" w:eastAsia="Times New Roman" w:hAnsi="Times New Roman"/>
          <w:sz w:val="14"/>
          <w:szCs w:val="14"/>
          <w:color w:val="auto"/>
        </w:rPr>
      </w:pPr>
    </w:p>
    <w:p>
      <w:pPr>
        <w:ind w:left="500" w:right="60" w:hanging="243"/>
        <w:spacing w:after="0" w:line="283" w:lineRule="auto"/>
        <w:tabs>
          <w:tab w:leader="none" w:pos="4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a U.S. court is able to exercise primary supervision over the administration of the trust and one or more “United States persons”, as defined in the Code, have authority to control all substantial decisions of the trust or if the trust has a valid election in effect to be treated as a United States person under applicable U.S. Treasury Regulations.</w:t>
      </w:r>
    </w:p>
    <w:p>
      <w:pPr>
        <w:spacing w:after="0" w:line="1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This discussion is based on current provisions of the Code, existing, proposed and temporary U.S. Treasury Regulations promulgated thereunder, current administrative rulings, and judicial decisions, all as in effect as of the date of this prospectus and all of which are subject to change or to differing interpretation, possibly with retroactive effect. We have not sought and will not seek any rulings from the Internal Revenue Service (“IRS”) regarding the matters discussed below. Any change could alter the tax consequences to non-U.S. holders described in this prospectus. In addition, the IRS could challenge one or more of the tax consequences described in this prospectus.</w:t>
      </w:r>
    </w:p>
    <w:p>
      <w:pPr>
        <w:spacing w:after="0" w:line="14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assume in this discussion that each non-U.S. holder holds shares of our Series A common stock as a capital asset within the meaning of Section 1221 of the Code (generally, property held for investment). This discussion does not address all aspects of U.S. federal income taxation that may be relevant to a particular non-U.S. holder in light of that non-U.S. holder’s individual circumstances nor does it address any aspects of U.S. state or local or non-U.S. taxes, the alternative minimum tax, the Medicare contribution tax on net investment income, the rules regarding qualified small business stock within the meaning of Section 1202 of the Code or U.S. federal taxes other than income (e.g., estate). This discussion also does not consider any specific facts or circumstances that may apply to a non-U.S. holder and does not address the special tax rules applicable to particular non-U.S. holders, such as:</w:t>
      </w:r>
    </w:p>
    <w:p>
      <w:pPr>
        <w:spacing w:after="0" w:line="141" w:lineRule="exact"/>
        <w:rPr>
          <w:sz w:val="20"/>
          <w:szCs w:val="20"/>
          <w:color w:val="auto"/>
        </w:rPr>
      </w:pPr>
    </w:p>
    <w:p>
      <w:pPr>
        <w:ind w:left="500" w:hanging="243"/>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companies;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mutual funds;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(including private foundations);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or international organizations;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investment trusts;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institutions;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or dealers in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20"/>
          </w:cols>
          <w:pgMar w:left="300" w:top="125"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plans;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and entities all of the interests of which are held by qualified foreign pension funds;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passive foreign investment companies;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corporations that accumulate earnings to avoid U.S. federal income tax;</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 that hold our Series A common stock as part of a straddle, hedge, conversion transaction, synthetic security or other integrated investment;</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own, or are deemed to own, more than five percent of our capital stock (except to the extent specifically set forth below);</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U.S. expatriates;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have elected to mark securities to market;</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Series A common stock under the constructive sale provisions of the Code;</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elect to apply Section 1400Z-2 of the Code to gains recognized with respect to shares of our Series A common stock;</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 our Series A common stock pursuant to the exercise of any warrant or option;</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acquire our Series A common stock as compensation for services; or</w:t>
      </w:r>
    </w:p>
    <w:p>
      <w:pPr>
        <w:spacing w:after="0" w:line="175" w:lineRule="exact"/>
        <w:rPr>
          <w:rFonts w:ascii="Times New Roman" w:cs="Times New Roman" w:eastAsia="Times New Roman" w:hAnsi="Times New Roman"/>
          <w:sz w:val="14"/>
          <w:szCs w:val="14"/>
          <w:color w:val="auto"/>
        </w:rPr>
      </w:pPr>
    </w:p>
    <w:p>
      <w:pPr>
        <w:ind w:left="500" w:right="580" w:hanging="243"/>
        <w:spacing w:after="0" w:line="283" w:lineRule="auto"/>
        <w:tabs>
          <w:tab w:leader="none" w:pos="49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our Series A common stock being taken into account in an “applicable financial statement” as defined in Section 451(b) of the Code.</w:t>
      </w:r>
    </w:p>
    <w:p>
      <w:pPr>
        <w:spacing w:after="0" w:line="1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In addition, this discussion does not address the tax treatment of partnerships (including any entity or arrangement treated as a partnership for U.S. federal income tax purposes) or other entities that are transparent for U.S. federal income tax purposes or persons who hold their Series A common stock through partnerships or other entities that are transparent for U.S. federal income tax purposes. In the case of a holder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their stock through another transparent entity should consult his, her or its own tax advisor regarding the tax consequences of the ownership and disposition of our Series A common stock through a partnership or other transparent entity, as applicable.</w:t>
      </w:r>
    </w:p>
    <w:p>
      <w:pPr>
        <w:spacing w:after="0" w:line="144" w:lineRule="exact"/>
        <w:rPr>
          <w:sz w:val="20"/>
          <w:szCs w:val="20"/>
          <w:color w:val="auto"/>
        </w:rPr>
      </w:pPr>
    </w:p>
    <w:p>
      <w:pPr>
        <w:jc w:val="both"/>
        <w:ind w:right="320"/>
        <w:spacing w:after="0" w:line="267" w:lineRule="auto"/>
        <w:rPr>
          <w:sz w:val="20"/>
          <w:szCs w:val="20"/>
          <w:color w:val="auto"/>
        </w:rPr>
      </w:pPr>
      <w:r>
        <w:rPr>
          <w:rFonts w:ascii="Times New Roman" w:cs="Times New Roman" w:eastAsia="Times New Roman" w:hAnsi="Times New Roman"/>
          <w:sz w:val="14"/>
          <w:szCs w:val="14"/>
          <w:color w:val="auto"/>
        </w:rPr>
        <w:t>The following discussion of certain material U.S. federal income tax considerations is for general information only. It is not tax advice. Prospective investors should consult their own tax advisors regarding the particular U.S. federal, state and local and non-U.S. tax consequences to them of acquiring, holding and disposing of our Series A common stock, including the consequences of any proposed changes in applicable laws and the application of any applicable income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60"/>
          </w:cols>
          <w:pgMar w:left="300" w:top="1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Distributions on our Series A Common Stock</w:t>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do not expect to pay any dividends in the foreseeable future. However, in the event that we do pay distributions of cash or property on our Series A common stock, those distributions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our Series A common stock. Any remaining excess will be treated as capital gain, subject to the tax treatment described below under the heading “Gain on Sale, Exchange or Other Taxable Disposition of Series A Common Stock.”</w:t>
      </w:r>
    </w:p>
    <w:p>
      <w:pPr>
        <w:spacing w:after="0" w:line="14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Subject to the discussion of effectively connected income below and the discussions below under the headings “Information Reporting and Backup Withholding” and “Foreign Account Tax Compliance Act”, dividends paid to a non-U.S. holder generally will be subject to withholding of U.S. federal income tax at a 30% rate or such lower rate as may be specified by an applicable income tax treaty between the United States and such holder’s country of residence. If we or the applicable withholding agent are unable to determine, at a time reasonably close to the date of payment of a distribution on our Series A common stock, what portion, if any, of the distribution will constitute a dividend, then we or the applicable withholding agent may withhold U.S. federal income tax on the basis of assuming that the full amount of the distribution will be a dividend. If we or another withholding agent withhold more than is required or if a non-U.S. holder does not timely provide us with the required certification, the non-U.S. holder may be entitled to a refund or credit of any excess tax withheld by timely filing an appropriate claim with the IRS.</w:t>
      </w:r>
    </w:p>
    <w:p>
      <w:pPr>
        <w:spacing w:after="0" w:line="14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A non-U.S. holder of our Series A common stock who claims the benefit of an applicable income tax treaty between the United States and such holder’s country of residence with respect to U.S. withholding taxes generally will be required to provide a valid, properly executed IRS Form W-8BEN or W-8BEN-E (or applicable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w:t>
      </w:r>
    </w:p>
    <w:p>
      <w:pPr>
        <w:spacing w:after="0" w:line="14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Dividends that are treated as effectively connected with a trade or business conducted by a non-U.S. holder within the United States, and, if an applicable income tax treaty so requires, that are attributable to a permanent establishment or a fixed base maintained by the non-U.S. holder within the United States, are generally exempt from the 30% withholding tax if the non-U.S. holder satisfies applicable certification and disclosure requirements. To obtain this exemption, a non-U.S. holder must generally and timely provide us or the applicable withholding agent with a valid, properly executed IRS Form W-8ECI properly certifying such exemption. However, such U.S. effectively connected income is generally taxed at the same graduated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 subject to any applicable qualification rules contained in such treaty.</w:t>
      </w:r>
    </w:p>
    <w:p>
      <w:pPr>
        <w:spacing w:after="0" w:line="145"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4"/>
          <w:szCs w:val="14"/>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Gain on Sale, Exchange or Other Taxable Disposition of Series A Common Stock</w:t>
      </w:r>
    </w:p>
    <w:p>
      <w:pPr>
        <w:spacing w:after="0" w:line="178"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4"/>
          <w:szCs w:val="14"/>
          <w:color w:val="auto"/>
        </w:rPr>
        <w:t>Subject to the discussions below under the headings “Information Reporting and Backup Withholding” and “Foreign Account Tax Compliance Act,” a non-U.S. holder generally will not be subject to U.S. federal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 withholding tax on gain recognized on a sale, exchange or other taxable disposition of our Series A common stock unless:</w:t>
      </w:r>
    </w:p>
    <w:p>
      <w:pPr>
        <w:spacing w:after="0" w:line="176" w:lineRule="exact"/>
        <w:rPr>
          <w:sz w:val="20"/>
          <w:szCs w:val="20"/>
          <w:color w:val="auto"/>
        </w:rPr>
      </w:pPr>
    </w:p>
    <w:p>
      <w:pPr>
        <w:jc w:val="both"/>
        <w:ind w:left="500" w:right="140" w:hanging="243"/>
        <w:spacing w:after="0" w:line="261" w:lineRule="auto"/>
        <w:tabs>
          <w:tab w:leader="none" w:pos="4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generally be taxed on a net income basis at the regular graduated rates and in the manner applicable to United States persons, and, if the non-U.S. holder is a foreign corporation, an additional branch profits tax at a rate of 30%, or a lower rate as may be specified by an applicable income tax treaty, may also apply;</w:t>
      </w:r>
    </w:p>
    <w:p>
      <w:pPr>
        <w:spacing w:after="0" w:line="141" w:lineRule="exact"/>
        <w:rPr>
          <w:rFonts w:ascii="Times New Roman" w:cs="Times New Roman" w:eastAsia="Times New Roman" w:hAnsi="Times New Roman"/>
          <w:sz w:val="14"/>
          <w:szCs w:val="14"/>
          <w:color w:val="auto"/>
        </w:rPr>
      </w:pPr>
    </w:p>
    <w:p>
      <w:pPr>
        <w:jc w:val="both"/>
        <w:ind w:left="500" w:right="280" w:hanging="243"/>
        <w:spacing w:after="0" w:line="261" w:lineRule="auto"/>
        <w:tabs>
          <w:tab w:leader="none" w:pos="4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who is present in the United States for a period or periods aggregating 183 days or more in the taxable year of the disposition (treating portions of a day as a full day for purposes of this calculation) and certain other conditions are met, in which case the non-U.S. holder will be subject to U.S. federal income tax at a rate of 30% (or such lower rate as may be specified by an applicable income tax treaty) on the amount by which the non-U.S. holder’s capital gains allocable to U.S. sources exceed capital losses allocable to U.S. sources during the taxable year of the disposition (without taking into account any capital loss carryovers); or</w:t>
      </w:r>
    </w:p>
    <w:p>
      <w:pPr>
        <w:spacing w:after="0" w:line="141" w:lineRule="exact"/>
        <w:rPr>
          <w:rFonts w:ascii="Times New Roman" w:cs="Times New Roman" w:eastAsia="Times New Roman" w:hAnsi="Times New Roman"/>
          <w:sz w:val="14"/>
          <w:szCs w:val="14"/>
          <w:color w:val="auto"/>
        </w:rPr>
      </w:pPr>
    </w:p>
    <w:p>
      <w:pPr>
        <w:ind w:left="500" w:hanging="243"/>
        <w:spacing w:after="0" w:line="255" w:lineRule="auto"/>
        <w:tabs>
          <w:tab w:leader="none" w:pos="4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or were a “United States real property holding corporation” during a certain look-back period, unless our Series A common stock is regularly traded on an established securities market and the non-U.S. holder held no more than five percent of our outstanding Series A common stock, directly or indirectly, actually or constructively, during the shorter of the five-year period ending on the date of the disposition or the period that the non-U.S. holder held our Series A common stock. In such case, such non-U.S. holder generally will be taxed on its net gain derived from the disposition at the graduated U.S. federal income tax rates applicable to United States persons, as defined in the Code. Generally, a corporation is a “United States real property holding corporation” if the fair market value of its “United States real property interests,” as defined in the Code and applicable U.S. Treasury Regulations, equals or exceeds 50% of the sum of the fair market value of its worldwide real property interests plus its other assets used or held for use in a trade or business. Although there can be no assurance in this regard, we believe that we have not been and are not currently, and we do not anticipate becoming, a “United States real property holding corporation” for U.S. federal income tax purposes. No assurance can be provided that our Series A common stock will be regularly traded on an established securities market for purposes of the rules described above.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Non-U.S. Holders should consult their tax advisors regarding any applicable tax treaties that may provide for different rules.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17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4"/>
          <w:szCs w:val="14"/>
          <w:color w:val="auto"/>
        </w:rPr>
        <w:t>We (or the applicable paying agent) must report annually to the IRS and to each non-U.S. holder the gross amount of the distributions on our Series A common stock paid to such holder and the tax withheld, if any, with respect to such distributions. Non-U.S. holders may have to comply with specific certification procedures to establish that the holder is not a United States person, as defined in the Code, to avoid backup withholding at the applicable rate with respect to dividends on our Series A common stock. Generally, a holder will comply with such procedures if it provides a valid, properly executed IRS Form W-8BEN or W-8BEN-E, if applicable, or otherwise meets documentary evidence requirements for establishing that it is a non-U.S. holder, or otherwise establishes an exemption. However, information returns are required to be filed with the IRS in connection with any dividends on our common stock paid to the Non-U.S. Holder, regardless of whether any tax was actually withheld.</w:t>
      </w:r>
    </w:p>
    <w:p>
      <w:pPr>
        <w:spacing w:after="0" w:line="144" w:lineRule="exact"/>
        <w:rPr>
          <w:sz w:val="20"/>
          <w:szCs w:val="20"/>
          <w:color w:val="auto"/>
        </w:rPr>
      </w:pPr>
    </w:p>
    <w:p>
      <w:pPr>
        <w:jc w:val="both"/>
        <w:ind w:right="220"/>
        <w:spacing w:after="0" w:line="267" w:lineRule="auto"/>
        <w:rPr>
          <w:sz w:val="20"/>
          <w:szCs w:val="20"/>
          <w:color w:val="auto"/>
        </w:rPr>
      </w:pPr>
      <w:r>
        <w:rPr>
          <w:rFonts w:ascii="Times New Roman" w:cs="Times New Roman" w:eastAsia="Times New Roman" w:hAnsi="Times New Roman"/>
          <w:sz w:val="14"/>
          <w:szCs w:val="14"/>
          <w:color w:val="auto"/>
        </w:rPr>
        <w:t>Information reporting and backup withholding generally will apply to the proceeds of a disposition of our Series A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foreign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4"/>
          <w:szCs w:val="14"/>
          <w:color w:val="auto"/>
        </w:rPr>
        <w:t>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Copies of information returns may be made available to the tax authorities of the country in which the non-U.S. holder resides or is incorporated under the provisions of a specific treaty or agreement.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documentation provided to an applicable withholding agent may need to be updated in certain circumstances.</w:t>
      </w:r>
    </w:p>
    <w:p>
      <w:pPr>
        <w:spacing w:after="0" w:line="161"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from a payment to a non-U.S. holder may be refunded or credited against the non-U.S. holder’s U.S. federal income tax liability, if any, provided that an appropriate claim is timely filed with the IRS.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Account Tax Compliance Act</w:t>
      </w:r>
    </w:p>
    <w:p>
      <w:pPr>
        <w:spacing w:after="0" w:line="1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Provisions of the Code commonly referred to as the Foreign Account Tax Compliance Act and associated guidance (collectively, “FATCA”) generally impose a 30% withholding tax on any “withholdable payment”, as defined below, to a “foreign financial institution”, as defined in the Code, unless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United States owners) or another applicable exception applies or such institution is compliant with applicable foreign law enacted in connection with an applicable intergovernmental agreement between the United States and a foreign jurisdiction. FATCA will also generally impose a 30% withholding tax on any “withholdable payment”, as defined below, to certain foreign entities that are not financial institutions, unless such entity provides the withholding agent with a certification identifying the substantial U.S. owners of the entity (which generally includes any United States person who directly or indirectly owns more than 10% of the entity), if any, or another applicable exception applies or such entity is compliant with applicable foreign law enacted in connection with an applicable intergovernmental agreement between the United States and a foreign jurisdiction. Under applicable U.S. Treasury Regulations, “withholdable payments” currently include payments of dividends on our Series A common stock. However, currently proposed U.S. Treasury Regulations (the preamble to which specifies that taxpayers are permitted to rely on them pending finalization) provide that FATCA withholding does not apply to gross proceeds from the disposition of property of a type that can produce U.S. source dividends or interest. Taxpayers (including withholding agents) can currently rely on the proposed Treasury Regulations. Under certain circumstances, a non-U.S. holder might be eligible for refunds or credits of such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4"/>
          <w:szCs w:val="14"/>
          <w:color w:val="auto"/>
        </w:rPr>
        <w:t>The Company, the selling stockholder, and the underwriters named below have entered into an underwriting agreement with respect to the shares of Series A common stock being offered. Subject to certain conditions, each underwriter has severally agreed to purchase the number of shares indicated in the following table. J.P. Morgan Securities LLC and Goldman Sachs &amp; Co. LLC are the representatives of the underwriters.</w:t>
      </w:r>
    </w:p>
    <w:p>
      <w:pPr>
        <w:spacing w:after="0" w:line="163"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1"/>
          <w:szCs w:val="11"/>
          <w:b w:val="1"/>
          <w:bCs w:val="1"/>
          <w:color w:val="auto"/>
        </w:rPr>
        <w:t>Underwriters</w:t>
      </w:r>
      <w:r>
        <w:rPr>
          <w:sz w:val="20"/>
          <w:szCs w:val="20"/>
          <w:color w:val="auto"/>
        </w:rPr>
        <w:tab/>
      </w:r>
      <w:r>
        <w:rPr>
          <w:rFonts w:ascii="Times New Roman" w:cs="Times New Roman" w:eastAsia="Times New Roman" w:hAnsi="Times New Roman"/>
          <w:sz w:val="11"/>
          <w:szCs w:val="11"/>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716280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1200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J.P. Morgan Securities LLC</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Goldman Sachs &amp; Co.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162800" cy="1136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1136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Jefferies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162800" cy="1136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1136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BMO Capital Markets Corp.</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162800" cy="113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1136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Needham &amp; Company,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162800" cy="113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1136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William Blair &amp; Company,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162800" cy="127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12700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underwriters are committed to take and pay for all of the shares being offered, if any are taken, other than the shares covered by the option described below unless and until this option is exercised.</w:t>
      </w:r>
    </w:p>
    <w:p>
      <w:pPr>
        <w:spacing w:after="0" w:line="176"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4"/>
          <w:szCs w:val="14"/>
          <w:color w:val="auto"/>
        </w:rPr>
        <w:t>The underwriters have an option to purchase up to an additional 1,200,000 shares from the selling stockholder at the public offering price less underwriting discounts and commissions. They may exercise that option for 30 days. If any shares are purchased pursuant to this option, the underwriters will severally purchase shares in approximately the same proportion as set forth in the table above.</w:t>
      </w:r>
    </w:p>
    <w:p>
      <w:pPr>
        <w:spacing w:after="0" w:line="125"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4"/>
          <w:szCs w:val="14"/>
          <w:color w:val="auto"/>
        </w:rPr>
        <w:t>The following table shows the per share and total underwriting discounts and commissions to be paid to the underwriters by the selling stockholder. Such amounts are shown assuming both no exercise and full exercise of the underwriters’ option to purchase 1,200,000 additional shares.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Paid by the Selling Stockholder</w:t>
            </w:r>
          </w:p>
        </w:tc>
        <w:tc>
          <w:tcPr>
            <w:tcW w:w="1660" w:type="dxa"/>
            <w:vAlign w:val="bottom"/>
            <w:gridSpan w:val="2"/>
          </w:tcPr>
          <w:p>
            <w:pPr>
              <w:ind w:left="500"/>
              <w:spacing w:after="0"/>
              <w:rPr>
                <w:sz w:val="20"/>
                <w:szCs w:val="20"/>
                <w:color w:val="auto"/>
              </w:rPr>
            </w:pPr>
            <w:r>
              <w:rPr>
                <w:rFonts w:ascii="Times New Roman" w:cs="Times New Roman" w:eastAsia="Times New Roman" w:hAnsi="Times New Roman"/>
                <w:sz w:val="11"/>
                <w:szCs w:val="11"/>
                <w:b w:val="1"/>
                <w:bCs w:val="1"/>
                <w:color w:val="auto"/>
              </w:rPr>
              <w:t>No Exercise</w:t>
            </w:r>
          </w:p>
        </w:tc>
        <w:tc>
          <w:tcPr>
            <w:tcW w:w="1560" w:type="dxa"/>
            <w:vAlign w:val="bottom"/>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Full Exercise</w:t>
            </w:r>
          </w:p>
        </w:tc>
      </w:tr>
      <w:tr>
        <w:trPr>
          <w:trHeight w:val="17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ind w:right="1435"/>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ind w:right="1415"/>
              <w:spacing w:after="0"/>
              <w:rPr>
                <w:sz w:val="20"/>
                <w:szCs w:val="20"/>
                <w:color w:val="auto"/>
              </w:rPr>
            </w:pPr>
            <w:r>
              <w:rPr>
                <w:rFonts w:ascii="Times New Roman" w:cs="Times New Roman" w:eastAsia="Times New Roman" w:hAnsi="Times New Roman"/>
                <w:sz w:val="14"/>
                <w:szCs w:val="14"/>
                <w:color w:val="auto"/>
                <w:w w:val="85"/>
              </w:rPr>
              <w:t>$</w:t>
            </w:r>
          </w:p>
        </w:tc>
      </w:tr>
      <w:tr>
        <w:trPr>
          <w:trHeight w:val="18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80" w:type="dxa"/>
            <w:vAlign w:val="bottom"/>
          </w:tcPr>
          <w:p>
            <w:pPr>
              <w:jc w:val="right"/>
              <w:ind w:right="1435"/>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5"/>
                <w:szCs w:val="15"/>
                <w:color w:val="auto"/>
              </w:rPr>
            </w:pPr>
          </w:p>
        </w:tc>
        <w:tc>
          <w:tcPr>
            <w:tcW w:w="1560" w:type="dxa"/>
            <w:vAlign w:val="bottom"/>
          </w:tcPr>
          <w:p>
            <w:pPr>
              <w:jc w:val="right"/>
              <w:ind w:right="1415"/>
              <w:spacing w:after="0"/>
              <w:rPr>
                <w:sz w:val="20"/>
                <w:szCs w:val="20"/>
                <w:color w:val="auto"/>
              </w:rPr>
            </w:pPr>
            <w:r>
              <w:rPr>
                <w:rFonts w:ascii="Times New Roman" w:cs="Times New Roman" w:eastAsia="Times New Roman" w:hAnsi="Times New Roman"/>
                <w:sz w:val="14"/>
                <w:szCs w:val="14"/>
                <w:color w:val="auto"/>
                <w:w w:val="85"/>
              </w:rPr>
              <w:t>$</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sold by the underwriters to the public will be offered at the public offering price set forth on the cover of this prospectus. Any shares sold by the underwriters to securities dealers may be sold at</w:t>
      </w:r>
    </w:p>
    <w:p>
      <w:pPr>
        <w:spacing w:after="0" w:line="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a discount of up to $ per share from the public offering price. The offering of the shares by the underwriters is subject to receipt and acceptance and subject to the underwriters’ right to reject any order in whole or in part.</w:t>
      </w:r>
    </w:p>
    <w:p>
      <w:pPr>
        <w:spacing w:after="0" w:line="14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4"/>
          <w:szCs w:val="14"/>
          <w:color w:val="auto"/>
        </w:rPr>
        <w:t>The Company, its executive officers and directors and the selling stockholder have agreed, with the underwriters, subject to certain exceptions, not to dispose of or hedge any of their Series A common stock or securities convertible into or exchangeable for shares of common stock during the period from the date of this prospectus continuing through 90 days after the date of this prospectus, except with the prior written consent of J.P. Morgan Securities LLC and Goldman Sachs &amp; Co. LLC.</w:t>
      </w:r>
    </w:p>
    <w:p>
      <w:pPr>
        <w:spacing w:after="0" w:line="136"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4"/>
          <w:szCs w:val="14"/>
          <w:color w:val="auto"/>
        </w:rPr>
        <w:t>J.P. Morgan Securities LLC and Goldman Sachs &amp; Co. LLC, in their sole discretion, may release the shares of common stock and other securities subject to the lock-up agreements described above in whole or in part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Series A common stock is listed on the Nasdaq Global Select Market under the symbol “PTRN”.</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In connection with the offering, the underwriters may purchase and sell shares of Series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Series A common stock in the open market after pricing that could adversely affect investors who purchase in the offering. Stabilizing transactions consist of various bids for or purchases of Series A common stock made by the underwriters in the open market prior to the completion of the offering.</w:t>
      </w:r>
    </w:p>
    <w:p>
      <w:pPr>
        <w:spacing w:after="0" w:line="148"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4"/>
          <w:szCs w:val="14"/>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Purchases to cover a short position and stabilizing transactions, as well as other purchases by the underwriters for their own accounts, may have the effect of preventing or retarding a decline in the market price of the Company’s Series A common stock, and together with the imposition of the penalty bid, may stabilize, maintain, or otherwise affect the market price of the Series A common stock. As a result, the price of the Series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4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4"/>
          <w:szCs w:val="14"/>
          <w:color w:val="auto"/>
        </w:rPr>
        <w:t>The Company estimates that its share of the total expenses of the offering will be approximately $1.25 million. The Company has also agreed to reimburse the underwriters for certain of their expenses in an amount up to $35,000.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and the selling stockholder have agreed to indemnify the several underwriters against certain liabilities, including liabilities under the Securities Act.</w:t>
      </w:r>
    </w:p>
    <w:p>
      <w:pPr>
        <w:spacing w:after="0" w:line="17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For example, JPMorgan Chase Bank, N.A., an affiliate of J.P. Morgan Securities LLC, acts as the administrative agent, issuing bank and a lender under the Credit Facility.</w:t>
      </w:r>
    </w:p>
    <w:p>
      <w:pPr>
        <w:spacing w:after="0" w:line="14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60"/>
          </w:cols>
          <w:pgMar w:left="300" w:top="1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4"/>
          <w:szCs w:val="14"/>
          <w:color w:val="auto"/>
        </w:rPr>
        <w:t>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European Economic Area</w:t>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State, no shares of common stock have been offered or will be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as defined below, except that the shares of common stock may be offered to the public in that Relevant State at any time:</w:t>
      </w:r>
    </w:p>
    <w:p>
      <w:pPr>
        <w:spacing w:after="0" w:line="141" w:lineRule="exact"/>
        <w:rPr>
          <w:sz w:val="20"/>
          <w:szCs w:val="20"/>
          <w:color w:val="auto"/>
        </w:rPr>
      </w:pPr>
    </w:p>
    <w:p>
      <w:pPr>
        <w:ind w:left="500" w:hanging="243"/>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Prospectus Regulation;</w:t>
      </w:r>
    </w:p>
    <w:p>
      <w:pPr>
        <w:spacing w:after="0" w:line="175" w:lineRule="exact"/>
        <w:rPr>
          <w:rFonts w:ascii="Times New Roman" w:cs="Times New Roman" w:eastAsia="Times New Roman" w:hAnsi="Times New Roman"/>
          <w:sz w:val="14"/>
          <w:szCs w:val="14"/>
          <w:color w:val="auto"/>
        </w:rPr>
      </w:pPr>
    </w:p>
    <w:p>
      <w:pPr>
        <w:ind w:left="500" w:right="140" w:hanging="243"/>
        <w:spacing w:after="0" w:line="283" w:lineRule="auto"/>
        <w:tabs>
          <w:tab w:leader="none" w:pos="49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Prospectus Regulation), subject to obtaining the prior consent of representatives for any such offer; or</w:t>
      </w:r>
    </w:p>
    <w:p>
      <w:pPr>
        <w:spacing w:after="0" w:line="12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provided that no such offer of the shares of common stock shall require us or any of the representatives to publish a prospectus pursuant to Article 3 of the Prospectus Regulation or supplement a prospectus pursuant to Article 23 of the Prospectus Regulation. For the purposes of this provision, the expression an “offer to the public” in relation to the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United Kingdom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shares have been offered or will be offered pursuant to the offering to the public in the United Kingdom except that the shares may be offered to the public in the United Kingdom at any time:</w:t>
      </w:r>
    </w:p>
    <w:p>
      <w:pPr>
        <w:spacing w:after="0" w:line="176" w:lineRule="exact"/>
        <w:rPr>
          <w:sz w:val="20"/>
          <w:szCs w:val="20"/>
          <w:color w:val="auto"/>
        </w:rPr>
      </w:pPr>
    </w:p>
    <w:p>
      <w:pPr>
        <w:ind w:left="500" w:right="140" w:hanging="243"/>
        <w:spacing w:after="0" w:line="283" w:lineRule="auto"/>
        <w:tabs>
          <w:tab w:leader="none" w:pos="49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offer is conditional on the admission of the Shares to trading on the London Stock Exchange plc’s main market (in reliance on the exception in paragraph 6(a) of Schedule 1 of the POATR);</w:t>
      </w:r>
    </w:p>
    <w:p>
      <w:pPr>
        <w:spacing w:after="0" w:line="12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under paragraph 15 of Schedule 1 of the POATR;</w:t>
      </w:r>
    </w:p>
    <w:p>
      <w:pPr>
        <w:spacing w:after="0" w:line="175" w:lineRule="exact"/>
        <w:rPr>
          <w:rFonts w:ascii="Times New Roman" w:cs="Times New Roman" w:eastAsia="Times New Roman" w:hAnsi="Times New Roman"/>
          <w:sz w:val="14"/>
          <w:szCs w:val="14"/>
          <w:color w:val="auto"/>
        </w:rPr>
      </w:pPr>
    </w:p>
    <w:p>
      <w:pPr>
        <w:ind w:left="500" w:right="40" w:hanging="243"/>
        <w:spacing w:after="0" w:line="283" w:lineRule="auto"/>
        <w:tabs>
          <w:tab w:leader="none" w:pos="49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persons (other than qualified investors as defined under paragraph 15 of Schedule 1 of the POATR), subject to obtaining the prior consent of J.P. Morgan Securities LLC and Goldman Sachs &amp; Co. LLC for any such offer; or</w:t>
      </w:r>
    </w:p>
    <w:p>
      <w:pPr>
        <w:spacing w:after="0" w:line="12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Part 1 of Schedule 1 of the POATR.</w:t>
      </w:r>
    </w:p>
    <w:p>
      <w:pPr>
        <w:spacing w:after="0" w:line="176"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expressions "POATR" means the Public Offers and Admissions to Trading Regulations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Canada</w:t>
      </w:r>
    </w:p>
    <w:p>
      <w:pPr>
        <w:spacing w:after="0" w:line="178"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4"/>
          <w:szCs w:val="14"/>
          <w:color w:val="auto"/>
        </w:rPr>
        <w:t>The securities may be sold in Canada only to purchasers purchasing, or deemed to be purchasing, as principal that are accredited investors, as defined in National Instrument 45-106 Prospectus Exemptions or subsection 73.3(1)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260"/>
          </w:cols>
          <w:pgMar w:left="300" w:top="1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4"/>
          <w:szCs w:val="14"/>
          <w:color w:val="auto"/>
        </w:rPr>
        <w:t>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25"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36"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Hong Kong</w:t>
      </w:r>
    </w:p>
    <w:p>
      <w:pPr>
        <w:spacing w:after="0" w:line="17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The shares of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common stock which are or are intended to be disposed of only to persons outside Hong Kong or only to “professional investors” in Hong Kong as defined in the Securities and Futures Ordinance and any rules made thereunder.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Singapore</w:t>
      </w:r>
    </w:p>
    <w:p>
      <w:pPr>
        <w:spacing w:after="0" w:line="17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4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Where the shares of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of common stock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the Securities and Futures (Offers of Investments) (Shares and Debentures) Regulations 2005 of Singapore (“Regulation 32”).</w:t>
      </w:r>
    </w:p>
    <w:p>
      <w:pPr>
        <w:spacing w:after="0" w:line="17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Where the shares of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of common stock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Japan</w:t>
      </w:r>
    </w:p>
    <w:p>
      <w:pPr>
        <w:spacing w:after="0" w:line="17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The securities have not been and will not be registered under the Financial Instruments and Exchange Act of Japan (Act No. 25 of 1948, as amended)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Brazil</w:t>
      </w:r>
    </w:p>
    <w:p>
      <w:pPr>
        <w:spacing w:after="0" w:line="17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OFFER AND SALE OF THE SECURITIES HAVE NOT BEEN AND WILL NOT BE REGISTERED WITH THE BRAZILIAN SECURITIES COMMISSION COMISSÃO DE VALORES MOBILIÁRIOS (“CVM”) AND, THEREFORE, WILL NOT BE CARRIED OUT BY ANY MEANS THAT WOULD CONSTITUTE A PUBLIC OFFERING IN BRAZIL UNDER CVM RESOLUTION NO 160, DATED 13 JULY 2022, AS AMENDED,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4"/>
          <w:szCs w:val="14"/>
          <w:color w:val="auto"/>
        </w:rPr>
        <w:t>Goodwin Procter LLP, Redwood City, California, which has acted as our counsel in connection with this offering, will pass upon the validity of the shares of our Series A common stock being offered by this prospectus. The underwriters have been represented by Latham &amp; Watkins LLP, Redwood City, California.</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4"/>
          <w:szCs w:val="14"/>
          <w:color w:val="auto"/>
        </w:rPr>
        <w:t>The financial statements of Pattern Group Inc. as of December 31, 2025 and 2024, and for each of the three years in the period ended December 31, 2025,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S-1 under the Securities Act with respect to the shares of Series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Series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proxy statements and other information about issuers, like us, that file electronically with the SEC. The address of that website is www.sec.gov.</w:t>
      </w:r>
    </w:p>
    <w:p>
      <w:pPr>
        <w:spacing w:after="0" w:line="14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4"/>
          <w:szCs w:val="14"/>
          <w:color w:val="auto"/>
        </w:rPr>
        <w:t>We are subject to the information and reporting requirements of the Exchange Act and, in accordance with this law, file periodic reports, proxy statements and other information with the SEC. Copies of certain information filed by us with the SEC are also available free of charge on our website at www.pattern.com.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00"/>
          </w:cols>
          <w:pgMar w:left="300" w:top="125"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INFORMATION INCORPORATED BY REFERENCE</w:t>
      </w:r>
    </w:p>
    <w:p>
      <w:pPr>
        <w:spacing w:after="0" w:line="15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the information in documents we file with it, which means that we can disclose important information to you by referring you to those documents. The information incorporated by reference is considered to be a part of this prospectus. Any statement contained in any document incorporated or deemed to be incorporated by reference herein shall be deemed to be modified or superseded for purposes of this prospectus to the extent that a statement contained in or omitted from this prospectus modifies or supersedes such statement. Any such statement so modified or superseded shall not be deemed, except as so modified or superseded, to constitute a part of this prospectus.</w:t>
      </w:r>
    </w:p>
    <w:p>
      <w:pPr>
        <w:spacing w:after="0" w:line="14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4"/>
          <w:szCs w:val="14"/>
          <w:color w:val="auto"/>
        </w:rPr>
        <w:t>We incorporate by reference the documents listed below; provided, however, we are not incorporating by reference any information furnished (but not filed) under Item 2.02 or Item 7.01 of any Current Report on Form 8-K:</w:t>
      </w:r>
    </w:p>
    <w:p>
      <w:pPr>
        <w:spacing w:after="0" w:line="125" w:lineRule="exact"/>
        <w:rPr>
          <w:sz w:val="20"/>
          <w:szCs w:val="20"/>
          <w:color w:val="auto"/>
        </w:rPr>
      </w:pPr>
    </w:p>
    <w:p>
      <w:pPr>
        <w:ind w:left="500" w:hanging="243"/>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fiscal year ended December 31, 2025, as filed with the SEC on </w:t>
      </w:r>
      <w:hyperlink r:id="rId22">
        <w:r>
          <w:rPr>
            <w:rFonts w:ascii="Times New Roman" w:cs="Times New Roman" w:eastAsia="Times New Roman" w:hAnsi="Times New Roman"/>
            <w:sz w:val="14"/>
            <w:szCs w:val="14"/>
            <w:u w:val="single" w:color="auto"/>
            <w:color w:val="0000FF"/>
          </w:rPr>
          <w:t>March 6, 2026</w:t>
        </w:r>
      </w:hyperlink>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for the quarter ended March 31, 2026, as filed with the SEC on </w:t>
      </w:r>
      <w:hyperlink r:id="rId23">
        <w:r>
          <w:rPr>
            <w:rFonts w:ascii="Times New Roman" w:cs="Times New Roman" w:eastAsia="Times New Roman" w:hAnsi="Times New Roman"/>
            <w:sz w:val="14"/>
            <w:szCs w:val="14"/>
            <w:u w:val="single" w:color="auto"/>
            <w:color w:val="0000FF"/>
          </w:rPr>
          <w:t>May 7, 2026</w:t>
        </w:r>
      </w:hyperlink>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and Form 8-K/A, as applicable, filed with the SEC on </w:t>
      </w:r>
      <w:hyperlink r:id="rId24">
        <w:r>
          <w:rPr>
            <w:rFonts w:ascii="Times New Roman" w:cs="Times New Roman" w:eastAsia="Times New Roman" w:hAnsi="Times New Roman"/>
            <w:sz w:val="14"/>
            <w:szCs w:val="14"/>
            <w:u w:val="single" w:color="auto"/>
            <w:color w:val="0000FF"/>
          </w:rPr>
          <w:t>February 5, 2026</w:t>
        </w:r>
      </w:hyperlink>
      <w:r>
        <w:rPr>
          <w:rFonts w:ascii="Times New Roman" w:cs="Times New Roman" w:eastAsia="Times New Roman" w:hAnsi="Times New Roman"/>
          <w:sz w:val="14"/>
          <w:szCs w:val="14"/>
          <w:color w:val="auto"/>
        </w:rPr>
        <w:t xml:space="preserve">, </w:t>
      </w:r>
      <w:hyperlink r:id="rId25">
        <w:r>
          <w:rPr>
            <w:rFonts w:ascii="Times New Roman" w:cs="Times New Roman" w:eastAsia="Times New Roman" w:hAnsi="Times New Roman"/>
            <w:sz w:val="14"/>
            <w:szCs w:val="14"/>
            <w:u w:val="single" w:color="auto"/>
            <w:color w:val="0000FF"/>
          </w:rPr>
          <w:t>March 5,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(Item 8.01 only), </w:t>
      </w:r>
      <w:hyperlink r:id="rId26">
        <w:r>
          <w:rPr>
            <w:rFonts w:ascii="Times New Roman" w:cs="Times New Roman" w:eastAsia="Times New Roman" w:hAnsi="Times New Roman"/>
            <w:sz w:val="14"/>
            <w:szCs w:val="14"/>
            <w:u w:val="single" w:color="auto"/>
            <w:color w:val="0000FF"/>
          </w:rPr>
          <w:t>March 18, 2026</w:t>
        </w:r>
      </w:hyperlink>
      <w:r>
        <w:rPr>
          <w:rFonts w:ascii="Times New Roman" w:cs="Times New Roman" w:eastAsia="Times New Roman" w:hAnsi="Times New Roman"/>
          <w:sz w:val="14"/>
          <w:szCs w:val="14"/>
          <w:color w:val="auto"/>
        </w:rPr>
        <w:t xml:space="preserve">, </w:t>
      </w:r>
      <w:hyperlink r:id="rId27">
        <w:r>
          <w:rPr>
            <w:rFonts w:ascii="Times New Roman" w:cs="Times New Roman" w:eastAsia="Times New Roman" w:hAnsi="Times New Roman"/>
            <w:sz w:val="14"/>
            <w:szCs w:val="14"/>
            <w:u w:val="single" w:color="auto"/>
            <w:color w:val="0000FF"/>
          </w:rPr>
          <w:t>May 21,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8">
        <w:r>
          <w:rPr>
            <w:rFonts w:ascii="Times New Roman" w:cs="Times New Roman" w:eastAsia="Times New Roman" w:hAnsi="Times New Roman"/>
            <w:sz w:val="14"/>
            <w:szCs w:val="14"/>
            <w:u w:val="single" w:color="auto"/>
            <w:color w:val="0000FF"/>
          </w:rPr>
          <w:t>June 2, 2026</w:t>
        </w:r>
      </w:hyperlink>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500" w:right="120" w:hanging="243"/>
        <w:spacing w:after="0" w:line="283" w:lineRule="auto"/>
        <w:tabs>
          <w:tab w:leader="none" w:pos="49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Schedule 14A, filed with the SEC on </w:t>
      </w:r>
      <w:hyperlink r:id="rId29">
        <w:r>
          <w:rPr>
            <w:rFonts w:ascii="Times New Roman" w:cs="Times New Roman" w:eastAsia="Times New Roman" w:hAnsi="Times New Roman"/>
            <w:sz w:val="14"/>
            <w:szCs w:val="14"/>
            <w:u w:val="single" w:color="auto"/>
            <w:color w:val="0000FF"/>
          </w:rPr>
          <w:t>April 1,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(other than the portions that are not required to be incorporated by reference into our Annual Report on Form 10-K for the year ended December 31, 2025);</w:t>
      </w:r>
    </w:p>
    <w:p>
      <w:pPr>
        <w:spacing w:after="0" w:line="125" w:lineRule="exact"/>
        <w:rPr>
          <w:rFonts w:ascii="Times New Roman" w:cs="Times New Roman" w:eastAsia="Times New Roman" w:hAnsi="Times New Roman"/>
          <w:sz w:val="14"/>
          <w:szCs w:val="14"/>
          <w:color w:val="auto"/>
        </w:rPr>
      </w:pPr>
    </w:p>
    <w:p>
      <w:pPr>
        <w:ind w:left="500" w:right="100" w:hanging="243"/>
        <w:spacing w:after="0" w:line="283" w:lineRule="auto"/>
        <w:tabs>
          <w:tab w:leader="none" w:pos="49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30">
        <w:r>
          <w:rPr>
            <w:rFonts w:ascii="Times New Roman" w:cs="Times New Roman" w:eastAsia="Times New Roman" w:hAnsi="Times New Roman"/>
            <w:sz w:val="14"/>
            <w:szCs w:val="14"/>
            <w:u w:val="single" w:color="auto"/>
            <w:color w:val="0000FF"/>
          </w:rPr>
          <w:t>Exhibit 4.1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to our Annual Report on Form 10-K for the year ended December 31, 2025, filed with the SEC on </w:t>
      </w:r>
      <w:hyperlink r:id="rId22">
        <w:r>
          <w:rPr>
            <w:rFonts w:ascii="Times New Roman" w:cs="Times New Roman" w:eastAsia="Times New Roman" w:hAnsi="Times New Roman"/>
            <w:sz w:val="14"/>
            <w:szCs w:val="14"/>
            <w:u w:val="single" w:color="auto"/>
            <w:color w:val="0000FF"/>
          </w:rPr>
          <w:t>March 6, 2026</w:t>
        </w:r>
      </w:hyperlink>
      <w:r>
        <w:rPr>
          <w:rFonts w:ascii="Times New Roman" w:cs="Times New Roman" w:eastAsia="Times New Roman" w:hAnsi="Times New Roman"/>
          <w:sz w:val="14"/>
          <w:szCs w:val="14"/>
          <w:color w:val="auto"/>
        </w:rPr>
        <w:t>, including any amendments or reports filed for the purposes of updating this description.</w:t>
      </w:r>
    </w:p>
    <w:p>
      <w:pPr>
        <w:spacing w:after="0" w:line="125" w:lineRule="exact"/>
        <w:rPr>
          <w:rFonts w:ascii="Times New Roman" w:cs="Times New Roman" w:eastAsia="Times New Roman" w:hAnsi="Times New Roman"/>
          <w:sz w:val="14"/>
          <w:szCs w:val="14"/>
          <w:color w:val="auto"/>
        </w:rPr>
      </w:pPr>
    </w:p>
    <w:p>
      <w:pPr>
        <w:ind w:right="140"/>
        <w:spacing w:after="0" w:line="257" w:lineRule="auto"/>
        <w:rPr>
          <w:sz w:val="20"/>
          <w:szCs w:val="20"/>
          <w:color w:val="auto"/>
        </w:rPr>
      </w:pPr>
      <w:r>
        <w:rPr>
          <w:rFonts w:ascii="Times New Roman" w:cs="Times New Roman" w:eastAsia="Times New Roman" w:hAnsi="Times New Roman"/>
          <w:sz w:val="14"/>
          <w:szCs w:val="14"/>
          <w:color w:val="auto"/>
        </w:rPr>
        <w:t>You can obtain any of the filings incorporated by reference in this prospectus through us or from the SEC through the SEC’s website at https://www.sec.gov. Upon written or oral request, we will provide without charge to each person, including any beneficial owner, to whom a copy of the prospectus is delivered a copy of the documents incorporated by reference in this prospectus (other than exhibits to such documents unless such exhibits are specifically incorporated by reference in this prospectus). You may request a copy of these filings, at no cost, by writing or telephoning us at the following address: Pattern Group Inc., 1441 West Innovation Way, Suite 500, Lehi, UT 84043; telephone: (866) 765-1355. You may also access these documents on our website at investors.pattern.com. Information on our website, including subsections, pages, or other subdivisions of our website, or any website linked to by content on our website, is not part of this prospectus and you should not rely on that information unless that information is also in this prospectus or incorporated by reference in this prospectus.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75"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136525</wp:posOffset>
            </wp:positionV>
            <wp:extent cx="1149350" cy="227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149350" cy="22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color w:val="auto"/>
        </w:rPr>
        <w:t>Pattern Group Inc.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Series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71628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716280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J.P. Morgan</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Goldman Sachs &amp; Co. LLC</w:t>
            </w:r>
          </w:p>
        </w:tc>
      </w:tr>
      <w:tr>
        <w:trPr>
          <w:trHeight w:val="298"/>
        </w:trPr>
        <w:tc>
          <w:tcPr>
            <w:tcW w:w="1400" w:type="dxa"/>
            <w:vAlign w:val="bottom"/>
          </w:tcPr>
          <w:p>
            <w:pPr>
              <w:spacing w:after="0"/>
              <w:rPr>
                <w:sz w:val="24"/>
                <w:szCs w:val="24"/>
                <w:color w:val="auto"/>
              </w:rPr>
            </w:pPr>
          </w:p>
        </w:tc>
        <w:tc>
          <w:tcPr>
            <w:tcW w:w="2320" w:type="dxa"/>
            <w:vAlign w:val="bottom"/>
          </w:tcPr>
          <w:p>
            <w:pPr>
              <w:ind w:left="960"/>
              <w:spacing w:after="0"/>
              <w:rPr>
                <w:sz w:val="20"/>
                <w:szCs w:val="20"/>
                <w:color w:val="auto"/>
              </w:rPr>
            </w:pPr>
            <w:r>
              <w:rPr>
                <w:rFonts w:ascii="Times New Roman" w:cs="Times New Roman" w:eastAsia="Times New Roman" w:hAnsi="Times New Roman"/>
                <w:sz w:val="17"/>
                <w:szCs w:val="17"/>
                <w:b w:val="1"/>
                <w:bCs w:val="1"/>
                <w:color w:val="auto"/>
              </w:rPr>
              <w:t>Evercore ISI</w:t>
            </w:r>
          </w:p>
        </w:tc>
        <w:tc>
          <w:tcPr>
            <w:tcW w:w="2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Jefferies</w:t>
            </w:r>
          </w:p>
        </w:tc>
        <w:tc>
          <w:tcPr>
            <w:tcW w:w="1320" w:type="dxa"/>
            <w:vAlign w:val="bottom"/>
          </w:tcPr>
          <w:p>
            <w:pPr>
              <w:spacing w:after="0"/>
              <w:rPr>
                <w:sz w:val="24"/>
                <w:szCs w:val="24"/>
                <w:color w:val="auto"/>
              </w:rPr>
            </w:pPr>
          </w:p>
        </w:tc>
      </w:tr>
      <w:tr>
        <w:trPr>
          <w:trHeight w:val="237"/>
        </w:trPr>
        <w:tc>
          <w:tcPr>
            <w:tcW w:w="1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Baird</w:t>
            </w:r>
          </w:p>
        </w:tc>
        <w:tc>
          <w:tcPr>
            <w:tcW w:w="232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BMO Capital Markets</w:t>
            </w:r>
          </w:p>
        </w:tc>
        <w:tc>
          <w:tcPr>
            <w:tcW w:w="244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KeyBanc Capital Markets</w:t>
            </w:r>
          </w:p>
        </w:tc>
        <w:tc>
          <w:tcPr>
            <w:tcW w:w="1900" w:type="dxa"/>
            <w:vAlign w:val="bottom"/>
          </w:tcPr>
          <w:p>
            <w:pPr>
              <w:ind w:left="740"/>
              <w:spacing w:after="0"/>
              <w:rPr>
                <w:sz w:val="20"/>
                <w:szCs w:val="20"/>
                <w:color w:val="auto"/>
              </w:rPr>
            </w:pPr>
            <w:r>
              <w:rPr>
                <w:rFonts w:ascii="Times New Roman" w:cs="Times New Roman" w:eastAsia="Times New Roman" w:hAnsi="Times New Roman"/>
                <w:sz w:val="11"/>
                <w:szCs w:val="11"/>
                <w:b w:val="1"/>
                <w:bCs w:val="1"/>
                <w:color w:val="auto"/>
              </w:rPr>
              <w:t>Needham &amp; Company</w:t>
            </w:r>
          </w:p>
        </w:tc>
        <w:tc>
          <w:tcPr>
            <w:tcW w:w="1900" w:type="dxa"/>
            <w:vAlign w:val="bottom"/>
          </w:tcPr>
          <w:p>
            <w:pPr>
              <w:ind w:left="1020"/>
              <w:spacing w:after="0"/>
              <w:rPr>
                <w:sz w:val="20"/>
                <w:szCs w:val="20"/>
                <w:color w:val="auto"/>
              </w:rPr>
            </w:pPr>
            <w:r>
              <w:rPr>
                <w:rFonts w:ascii="Times New Roman" w:cs="Times New Roman" w:eastAsia="Times New Roman" w:hAnsi="Times New Roman"/>
                <w:sz w:val="11"/>
                <w:szCs w:val="11"/>
                <w:b w:val="1"/>
                <w:bCs w:val="1"/>
                <w:color w:val="auto"/>
              </w:rPr>
              <w:t>Stifel</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William Blair</w:t>
            </w:r>
          </w:p>
        </w:tc>
      </w:tr>
      <w:tr>
        <w:trPr>
          <w:trHeight w:val="61"/>
        </w:trPr>
        <w:tc>
          <w:tcPr>
            <w:tcW w:w="140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 2026</w:t>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4"/>
          <w:szCs w:val="14"/>
          <w:color w:val="auto"/>
        </w:rPr>
        <w:t>The following table sets forth all expenses to be paid by us, other than underwriting discounts and commissions, in connection with this offering. All amounts shown are estimates except for the SEC registration fee and the FINRA filing fee. The registrant will pay all of the expenses of this offering.</w:t>
      </w:r>
    </w:p>
    <w:p>
      <w:pPr>
        <w:sectPr>
          <w:pgSz w:w="11900" w:h="16838" w:orient="portrait"/>
          <w:cols w:equalWidth="0" w:num="1">
            <w:col w:w="11220"/>
          </w:cols>
          <w:pgMar w:left="300" w:top="125" w:right="379" w:bottom="1440" w:gutter="0" w:footer="0" w:header="0"/>
        </w:sect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6280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62800" cy="12001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FINRA filing fee</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Printing and engraving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162800" cy="1136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62800" cy="1136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162800" cy="1136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62800" cy="1136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color w:val="auto"/>
        </w:rPr>
        <w:t>Transfer agent and registrar fees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162800" cy="113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62800" cy="11366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570"/>
        <w:spacing w:after="0"/>
        <w:rPr>
          <w:sz w:val="20"/>
          <w:szCs w:val="20"/>
          <w:color w:val="auto"/>
        </w:rPr>
      </w:pPr>
      <w:r>
        <w:rPr>
          <w:rFonts w:ascii="Times New Roman" w:cs="Times New Roman" w:eastAsia="Times New Roman" w:hAnsi="Times New Roman"/>
          <w:sz w:val="11"/>
          <w:szCs w:val="11"/>
          <w:b w:val="1"/>
          <w:bCs w:val="1"/>
          <w:color w:val="auto"/>
        </w:rPr>
        <w:t>Amount</w:t>
      </w:r>
    </w:p>
    <w:p>
      <w:pPr>
        <w:spacing w:after="0" w:line="46" w:lineRule="exact"/>
        <w:rPr>
          <w:sz w:val="20"/>
          <w:szCs w:val="20"/>
          <w:color w:val="auto"/>
        </w:rPr>
      </w:pPr>
    </w:p>
    <w:p>
      <w:pPr>
        <w:ind w:left="1110" w:hanging="1110"/>
        <w:spacing w:after="0"/>
        <w:tabs>
          <w:tab w:leader="none" w:pos="111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25,048</w:t>
      </w:r>
    </w:p>
    <w:p>
      <w:pPr>
        <w:spacing w:after="0" w:line="33" w:lineRule="exact"/>
        <w:rPr>
          <w:rFonts w:ascii="Times New Roman" w:cs="Times New Roman" w:eastAsia="Times New Roman" w:hAnsi="Times New Roman"/>
          <w:sz w:val="13"/>
          <w:szCs w:val="13"/>
          <w:color w:val="auto"/>
        </w:rPr>
      </w:pPr>
    </w:p>
    <w:p>
      <w:pPr>
        <w:ind w:left="129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650</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75,000</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1,000,000</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125,000</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24,302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99568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95680" cy="6985"/>
                    </a:xfrm>
                    <a:prstGeom prst="rect">
                      <a:avLst/>
                    </a:prstGeom>
                    <a:noFill/>
                  </pic:spPr>
                </pic:pic>
              </a:graphicData>
            </a:graphic>
          </wp:anchor>
        </w:drawing>
      </w:r>
    </w:p>
    <w:p>
      <w:pPr>
        <w:spacing w:after="0" w:line="4" w:lineRule="exact"/>
        <w:rPr>
          <w:sz w:val="20"/>
          <w:szCs w:val="20"/>
          <w:color w:val="auto"/>
        </w:rPr>
      </w:pPr>
    </w:p>
    <w:p>
      <w:pPr>
        <w:ind w:left="930" w:hanging="930"/>
        <w:spacing w:after="0"/>
        <w:tabs>
          <w:tab w:leader="none" w:pos="93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99568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99568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34290</wp:posOffset>
            </wp:positionV>
            <wp:extent cx="99568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995680"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9010" w:space="720"/>
            <w:col w:w="1490"/>
          </w:cols>
          <w:pgMar w:left="300" w:top="125" w:right="37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145 of the DGCL authorizes a corporation’s board of directors to grant, and authorizes a court to award, indemnity to officers, directors and other corporate agents.</w:t>
      </w:r>
    </w:p>
    <w:p>
      <w:pPr>
        <w:spacing w:after="0" w:line="176"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4"/>
          <w:szCs w:val="14"/>
          <w:color w:val="auto"/>
        </w:rPr>
        <w:t>Our amended and restated certificate of incorporation contains provisions that limit the liability of our directors and officers for monetary damages to the fullest extent permitted by Delaware law. Consequently, our directors and officers will not be personally liable to us or our stockholders for monetary damages for any breach of fiduciary duties as directors and officers, except liability for the following:</w:t>
      </w:r>
    </w:p>
    <w:p>
      <w:pPr>
        <w:spacing w:after="0" w:line="136" w:lineRule="exact"/>
        <w:rPr>
          <w:sz w:val="20"/>
          <w:szCs w:val="20"/>
          <w:color w:val="auto"/>
        </w:rPr>
      </w:pPr>
    </w:p>
    <w:p>
      <w:pPr>
        <w:ind w:left="500" w:hanging="24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their duty of loyalty to our company or our stockholders;</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or omission not in good faith or that involves intentional misconduct or a knowing violation of law;</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directors, unlawful payments of dividends or unlawful stock repurchases, or redemptions as provided in Section 174 of the DGCL; or</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they derived an improper personal benefit; or</w:t>
      </w:r>
    </w:p>
    <w:p>
      <w:pPr>
        <w:spacing w:after="0" w:line="17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officers, any derivative action by or in the right of the corporation.</w:t>
      </w:r>
    </w:p>
    <w:p>
      <w:pPr>
        <w:spacing w:after="0" w:line="17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and officers of corporations, then the personal liability of our directors and officers will be further limited to the greatest extent permitted by the DGCL.</w:t>
      </w:r>
    </w:p>
    <w:p>
      <w:pPr>
        <w:spacing w:after="0" w:line="13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 addition, our amended and restated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1220"/>
          </w:cols>
          <w:pgMar w:left="300" w:top="125" w:right="37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4"/>
          <w:szCs w:val="14"/>
          <w:color w:val="auto"/>
        </w:rPr>
        <w:t>partnership, joint venture, trust or other enterprise. Our amended and restated bylaws also provide that we must advance expenses incurred by or on behalf of a director or officer in advance of the final disposition of any action or proceeding, subject to very limited exceptions.</w:t>
      </w:r>
    </w:p>
    <w:p>
      <w:pPr>
        <w:spacing w:after="0" w:line="1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4"/>
          <w:szCs w:val="14"/>
          <w:color w:val="auto"/>
        </w:rPr>
        <w:t>Further, we have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4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The limitation of liability and indemnification provisions that are included in our amended and restated certificate of incorporation, amended restated bylaws and in indemnification agreements that we have entered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4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We have obtained insurance policies under which, subject to the limitations of the policies, coverage is provided to our directors and executive officers against losses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3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4"/>
          <w:szCs w:val="14"/>
          <w:color w:val="auto"/>
        </w:rPr>
        <w:t>The underwriting agreement filed as Exhibit 1.1 to this registration statement provides for indemnification by the underwriters of the Registrant and its officers and directors for certain liabilities arising under the Securities Act and otherwise.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Since January 1, 2023, we made sales of the following unregistered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Unit Issuances</w:t>
      </w:r>
    </w:p>
    <w:p>
      <w:pPr>
        <w:spacing w:after="0" w:line="17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4"/>
          <w:szCs w:val="14"/>
          <w:color w:val="auto"/>
        </w:rPr>
        <w:t>Since January 1, 2023, we granted to our employees, consultants and other service providers RSUs representing an aggregate of 9,766,888 shares of common stock under our 2019 Plan and 2025 Plan. In addition, we granted to our CEO Milestone RSUs representing an aggregate of 8,813,161 shares of common stock pursuant to a stand-alone restricted stock unit award agreement, which were subsequently cancelled in August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 Issuances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Since January 1, 2023, we issued and sold to our employees, consultants and other service providers an aggregate of 14,860 shares of common stock.</w:t>
      </w:r>
    </w:p>
    <w:p>
      <w:pPr>
        <w:spacing w:after="0" w:line="176"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4"/>
          <w:szCs w:val="14"/>
          <w:color w:val="auto"/>
        </w:rPr>
        <w:t>We believe these transactions were exempt from registration under the Securities Act in reliance upon Section 4(a)(2) of the Securities Act or Regulation D promulgated thereunder or Rule 701 promulgated under Section 3(b) of the Securities Act (“Rule 701”) as transactions by an issuer not involving any public offering or pursuant to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plans and contracts relating to compensation as provided under Rule 701. The recipients of the securities in each of these transactions acquired the securities for investment only and not with a view to or for sale in connection with any distribution thereof, and appropriate legends were placed upon the stock certificates issued in these transactions. All recipients had adequate access, in each transaction or through their relationships with us, to information about Pattern.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100" w:type="dxa"/>
            <w:vAlign w:val="bottom"/>
          </w:tcPr>
          <w:p>
            <w:pPr>
              <w:spacing w:after="0"/>
              <w:rPr>
                <w:sz w:val="13"/>
                <w:szCs w:val="13"/>
                <w:color w:val="auto"/>
              </w:rPr>
            </w:pPr>
          </w:p>
        </w:tc>
        <w:tc>
          <w:tcPr>
            <w:tcW w:w="468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11"/>
                <w:szCs w:val="11"/>
                <w:b w:val="1"/>
                <w:bCs w:val="1"/>
                <w:color w:val="auto"/>
              </w:rPr>
              <w:t>Exhibit Title</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Form</w:t>
            </w:r>
          </w:p>
        </w:tc>
        <w:tc>
          <w:tcPr>
            <w:tcW w:w="80" w:type="dxa"/>
            <w:vAlign w:val="bottom"/>
          </w:tcPr>
          <w:p>
            <w:pPr>
              <w:spacing w:after="0"/>
              <w:rPr>
                <w:sz w:val="13"/>
                <w:szCs w:val="13"/>
                <w:color w:val="auto"/>
              </w:rPr>
            </w:pPr>
          </w:p>
        </w:tc>
        <w:tc>
          <w:tcPr>
            <w:tcW w:w="13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80" w:type="dxa"/>
            <w:vAlign w:val="bottom"/>
          </w:tcPr>
          <w:p>
            <w:pPr>
              <w:spacing w:after="0"/>
              <w:rPr>
                <w:sz w:val="13"/>
                <w:szCs w:val="13"/>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00" w:type="dxa"/>
            <w:vAlign w:val="bottom"/>
          </w:tcPr>
          <w:p>
            <w:pPr>
              <w:spacing w:after="0"/>
              <w:rPr>
                <w:sz w:val="13"/>
                <w:szCs w:val="13"/>
                <w:color w:val="auto"/>
              </w:rPr>
            </w:pP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100" w:type="dxa"/>
            <w:vAlign w:val="bottom"/>
          </w:tcPr>
          <w:p>
            <w:pPr>
              <w:spacing w:after="0"/>
              <w:rPr>
                <w:sz w:val="13"/>
                <w:szCs w:val="13"/>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Filed Herewith</w:t>
            </w:r>
          </w:p>
        </w:tc>
        <w:tc>
          <w:tcPr>
            <w:tcW w:w="0" w:type="dxa"/>
            <w:vAlign w:val="bottom"/>
          </w:tcPr>
          <w:p>
            <w:pPr>
              <w:spacing w:after="0"/>
              <w:rPr>
                <w:sz w:val="1"/>
                <w:szCs w:val="1"/>
                <w:color w:val="auto"/>
              </w:rPr>
            </w:pPr>
          </w:p>
        </w:tc>
      </w:tr>
      <w:tr>
        <w:trPr>
          <w:trHeight w:val="179"/>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476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Form of Underwriting Agreement</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3"/>
                <w:szCs w:val="13"/>
                <w:color w:val="auto"/>
              </w:rPr>
            </w:pPr>
          </w:p>
        </w:tc>
        <w:tc>
          <w:tcPr>
            <w:tcW w:w="4120" w:type="dxa"/>
            <w:vAlign w:val="bottom"/>
            <w:tcBorders>
              <w:bottom w:val="single" w:sz="8" w:color="0000FF"/>
            </w:tcBorders>
            <w:gridSpan w:val="17"/>
          </w:tcPr>
          <w:p>
            <w:pPr>
              <w:spacing w:after="0" w:line="159" w:lineRule="exact"/>
              <w:rPr>
                <w:rFonts w:ascii="Times New Roman" w:cs="Times New Roman" w:eastAsia="Times New Roman" w:hAnsi="Times New Roman"/>
                <w:sz w:val="14"/>
                <w:szCs w:val="14"/>
                <w:color w:val="0000FF"/>
              </w:rPr>
            </w:pPr>
            <w:hyperlink r:id="rId41">
              <w:r>
                <w:rPr>
                  <w:rFonts w:ascii="Times New Roman" w:cs="Times New Roman" w:eastAsia="Times New Roman" w:hAnsi="Times New Roman"/>
                  <w:sz w:val="14"/>
                  <w:szCs w:val="14"/>
                  <w:color w:val="0000FF"/>
                </w:rPr>
                <w:t>Amended and Restated Certificate of Incorporation of Pattern Group Inc.</w:t>
              </w:r>
            </w:hyperlink>
          </w:p>
        </w:tc>
        <w:tc>
          <w:tcPr>
            <w:tcW w:w="640" w:type="dxa"/>
            <w:vAlign w:val="bottom"/>
            <w:gridSpan w:val="12"/>
          </w:tcPr>
          <w:p>
            <w:pPr>
              <w:spacing w:after="0"/>
              <w:rPr>
                <w:sz w:val="13"/>
                <w:szCs w:val="13"/>
                <w:color w:val="auto"/>
              </w:rPr>
            </w:pPr>
          </w:p>
        </w:tc>
        <w:tc>
          <w:tcPr>
            <w:tcW w:w="80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color w:val="auto"/>
                <w:w w:val="91"/>
              </w:rPr>
              <w:t>8-K</w:t>
            </w:r>
          </w:p>
        </w:tc>
        <w:tc>
          <w:tcPr>
            <w:tcW w:w="13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001-42852</w:t>
            </w:r>
          </w:p>
        </w:tc>
        <w:tc>
          <w:tcPr>
            <w:tcW w:w="8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1"/>
              </w:rPr>
              <w:t>3.1</w:t>
            </w:r>
          </w:p>
        </w:tc>
        <w:tc>
          <w:tcPr>
            <w:tcW w:w="10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9/24/2025</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3"/>
                <w:szCs w:val="13"/>
                <w:color w:val="auto"/>
              </w:rPr>
            </w:pPr>
          </w:p>
        </w:tc>
        <w:tc>
          <w:tcPr>
            <w:tcW w:w="4760" w:type="dxa"/>
            <w:vAlign w:val="bottom"/>
            <w:gridSpan w:val="29"/>
          </w:tcPr>
          <w:p>
            <w:pPr>
              <w:spacing w:after="0" w:line="159" w:lineRule="exact"/>
              <w:rPr>
                <w:rFonts w:ascii="Times New Roman" w:cs="Times New Roman" w:eastAsia="Times New Roman" w:hAnsi="Times New Roman"/>
                <w:sz w:val="14"/>
                <w:szCs w:val="14"/>
                <w:color w:val="0000FF"/>
              </w:rPr>
            </w:pPr>
            <w:hyperlink r:id="rId42">
              <w:r>
                <w:rPr>
                  <w:rFonts w:ascii="Times New Roman" w:cs="Times New Roman" w:eastAsia="Times New Roman" w:hAnsi="Times New Roman"/>
                  <w:sz w:val="14"/>
                  <w:szCs w:val="14"/>
                  <w:color w:val="0000FF"/>
                </w:rPr>
                <w:t>Amended and Restated Bylaws of Pattern Group Inc.</w:t>
              </w:r>
            </w:hyperlink>
          </w:p>
        </w:tc>
        <w:tc>
          <w:tcPr>
            <w:tcW w:w="80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color w:val="auto"/>
                <w:w w:val="91"/>
              </w:rPr>
              <w:t>8-K</w:t>
            </w:r>
          </w:p>
        </w:tc>
        <w:tc>
          <w:tcPr>
            <w:tcW w:w="13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001-42852</w:t>
            </w:r>
          </w:p>
        </w:tc>
        <w:tc>
          <w:tcPr>
            <w:tcW w:w="8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1"/>
              </w:rPr>
              <w:t>3.2</w:t>
            </w:r>
          </w:p>
        </w:tc>
        <w:tc>
          <w:tcPr>
            <w:tcW w:w="10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9/24/2025</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3"/>
                <w:szCs w:val="13"/>
                <w:color w:val="auto"/>
              </w:rPr>
            </w:pPr>
          </w:p>
        </w:tc>
        <w:tc>
          <w:tcPr>
            <w:tcW w:w="3400" w:type="dxa"/>
            <w:vAlign w:val="bottom"/>
            <w:tcBorders>
              <w:bottom w:val="single" w:sz="8" w:color="0000FF"/>
            </w:tcBorders>
            <w:gridSpan w:val="11"/>
          </w:tcPr>
          <w:p>
            <w:pPr>
              <w:spacing w:after="0" w:line="159" w:lineRule="exact"/>
              <w:rPr>
                <w:rFonts w:ascii="Times New Roman" w:cs="Times New Roman" w:eastAsia="Times New Roman" w:hAnsi="Times New Roman"/>
                <w:sz w:val="14"/>
                <w:szCs w:val="14"/>
                <w:color w:val="0000FF"/>
                <w:w w:val="99"/>
              </w:rPr>
            </w:pPr>
            <w:hyperlink r:id="rId43">
              <w:r>
                <w:rPr>
                  <w:rFonts w:ascii="Times New Roman" w:cs="Times New Roman" w:eastAsia="Times New Roman" w:hAnsi="Times New Roman"/>
                  <w:sz w:val="14"/>
                  <w:szCs w:val="14"/>
                  <w:color w:val="0000FF"/>
                  <w:w w:val="99"/>
                </w:rPr>
                <w:t>Form of Series A common stock certificate of the Registrant</w:t>
              </w:r>
            </w:hyperlink>
          </w:p>
        </w:tc>
        <w:tc>
          <w:tcPr>
            <w:tcW w:w="1360" w:type="dxa"/>
            <w:vAlign w:val="bottom"/>
            <w:gridSpan w:val="18"/>
          </w:tcPr>
          <w:p>
            <w:pPr>
              <w:spacing w:after="0"/>
              <w:rPr>
                <w:sz w:val="13"/>
                <w:szCs w:val="13"/>
                <w:color w:val="auto"/>
              </w:rPr>
            </w:pPr>
          </w:p>
        </w:tc>
        <w:tc>
          <w:tcPr>
            <w:tcW w:w="80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color w:val="auto"/>
                <w:w w:val="95"/>
              </w:rPr>
              <w:t>S-1/A</w:t>
            </w:r>
          </w:p>
        </w:tc>
        <w:tc>
          <w:tcPr>
            <w:tcW w:w="13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333-289810</w:t>
            </w:r>
          </w:p>
        </w:tc>
        <w:tc>
          <w:tcPr>
            <w:tcW w:w="8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1"/>
              </w:rPr>
              <w:t>4.1</w:t>
            </w:r>
          </w:p>
        </w:tc>
        <w:tc>
          <w:tcPr>
            <w:tcW w:w="10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9/10/2025</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3"/>
                <w:szCs w:val="13"/>
                <w:color w:val="auto"/>
              </w:rPr>
            </w:pPr>
          </w:p>
        </w:tc>
        <w:tc>
          <w:tcPr>
            <w:tcW w:w="4760" w:type="dxa"/>
            <w:vAlign w:val="bottom"/>
            <w:gridSpan w:val="29"/>
          </w:tcPr>
          <w:p>
            <w:pPr>
              <w:spacing w:after="0" w:line="159" w:lineRule="exact"/>
              <w:rPr>
                <w:rFonts w:ascii="Times New Roman" w:cs="Times New Roman" w:eastAsia="Times New Roman" w:hAnsi="Times New Roman"/>
                <w:sz w:val="14"/>
                <w:szCs w:val="14"/>
                <w:color w:val="0000FF"/>
              </w:rPr>
            </w:pPr>
            <w:hyperlink r:id="rId44">
              <w:r>
                <w:rPr>
                  <w:rFonts w:ascii="Times New Roman" w:cs="Times New Roman" w:eastAsia="Times New Roman" w:hAnsi="Times New Roman"/>
                  <w:sz w:val="14"/>
                  <w:szCs w:val="14"/>
                  <w:color w:val="0000FF"/>
                </w:rPr>
                <w:t>Amended and Restated Investors’ Rights Agreement, dated September 28, 2021,</w:t>
              </w:r>
            </w:hyperlink>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S-1</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333-289810</w:t>
            </w:r>
          </w:p>
        </w:tc>
        <w:tc>
          <w:tcPr>
            <w:tcW w:w="8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1"/>
              </w:rPr>
              <w:t>4.2</w:t>
            </w:r>
          </w:p>
        </w:tc>
        <w:tc>
          <w:tcPr>
            <w:tcW w:w="1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8/22/2025</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520" w:type="dxa"/>
            <w:vAlign w:val="bottom"/>
            <w:tcBorders>
              <w:top w:val="single" w:sz="8" w:color="0000FF"/>
            </w:tcBorders>
            <w:gridSpan w:val="24"/>
          </w:tcPr>
          <w:p>
            <w:pPr>
              <w:spacing w:after="0" w:line="106" w:lineRule="exact"/>
              <w:rPr>
                <w:rFonts w:ascii="Times New Roman" w:cs="Times New Roman" w:eastAsia="Times New Roman" w:hAnsi="Times New Roman"/>
                <w:sz w:val="12"/>
                <w:szCs w:val="12"/>
                <w:color w:val="0000FF"/>
              </w:rPr>
            </w:pPr>
            <w:hyperlink r:id="rId44">
              <w:r>
                <w:rPr>
                  <w:rFonts w:ascii="Times New Roman" w:cs="Times New Roman" w:eastAsia="Times New Roman" w:hAnsi="Times New Roman"/>
                  <w:sz w:val="12"/>
                  <w:szCs w:val="12"/>
                  <w:color w:val="0000FF"/>
                </w:rPr>
                <w:t>by and among the Registrant and certain of its stockholders.</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8"/>
              </w:rPr>
              <w:t>Opinion of Goodwin Procter LLP.</w:t>
            </w:r>
          </w:p>
        </w:tc>
        <w:tc>
          <w:tcPr>
            <w:tcW w:w="1440" w:type="dxa"/>
            <w:vAlign w:val="bottom"/>
            <w:tcBorders>
              <w:top w:val="single" w:sz="8" w:color="0000FF"/>
            </w:tcBorders>
            <w:gridSpan w:val="4"/>
          </w:tcPr>
          <w:p>
            <w:pPr>
              <w:spacing w:after="0"/>
              <w:rPr>
                <w:sz w:val="14"/>
                <w:szCs w:val="14"/>
                <w:color w:val="auto"/>
              </w:rPr>
            </w:pPr>
          </w:p>
        </w:tc>
        <w:tc>
          <w:tcPr>
            <w:tcW w:w="1400" w:type="dxa"/>
            <w:vAlign w:val="bottom"/>
            <w:gridSpan w:val="19"/>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3"/>
                <w:szCs w:val="13"/>
                <w:color w:val="auto"/>
              </w:rPr>
            </w:pPr>
          </w:p>
        </w:tc>
        <w:tc>
          <w:tcPr>
            <w:tcW w:w="4760" w:type="dxa"/>
            <w:vAlign w:val="bottom"/>
            <w:gridSpan w:val="29"/>
          </w:tcPr>
          <w:p>
            <w:pPr>
              <w:spacing w:after="0" w:line="159" w:lineRule="exact"/>
              <w:rPr>
                <w:rFonts w:ascii="Times New Roman" w:cs="Times New Roman" w:eastAsia="Times New Roman" w:hAnsi="Times New Roman"/>
                <w:sz w:val="14"/>
                <w:szCs w:val="14"/>
                <w:color w:val="0000FF"/>
              </w:rPr>
            </w:pPr>
            <w:hyperlink r:id="rId45">
              <w:r>
                <w:rPr>
                  <w:rFonts w:ascii="Times New Roman" w:cs="Times New Roman" w:eastAsia="Times New Roman" w:hAnsi="Times New Roman"/>
                  <w:sz w:val="14"/>
                  <w:szCs w:val="14"/>
                  <w:color w:val="0000FF"/>
                </w:rPr>
                <w:t>Form of Indemnification Agreement between the Registrant and each of its</w:t>
              </w:r>
            </w:hyperlink>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5"/>
              </w:rPr>
              <w:t>S-1/A</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333-289810</w:t>
            </w:r>
          </w:p>
        </w:tc>
        <w:tc>
          <w:tcPr>
            <w:tcW w:w="8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9/10/2025</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20" w:type="dxa"/>
            <w:vAlign w:val="bottom"/>
            <w:tcBorders>
              <w:top w:val="single" w:sz="8" w:color="0000FF"/>
            </w:tcBorders>
            <w:gridSpan w:val="19"/>
          </w:tcPr>
          <w:p>
            <w:pPr>
              <w:spacing w:after="0" w:line="106" w:lineRule="exact"/>
              <w:rPr>
                <w:rFonts w:ascii="Times New Roman" w:cs="Times New Roman" w:eastAsia="Times New Roman" w:hAnsi="Times New Roman"/>
                <w:sz w:val="12"/>
                <w:szCs w:val="12"/>
                <w:color w:val="0000FF"/>
              </w:rPr>
            </w:pPr>
            <w:hyperlink r:id="rId45">
              <w:r>
                <w:rPr>
                  <w:rFonts w:ascii="Times New Roman" w:cs="Times New Roman" w:eastAsia="Times New Roman" w:hAnsi="Times New Roman"/>
                  <w:sz w:val="12"/>
                  <w:szCs w:val="12"/>
                  <w:color w:val="0000FF"/>
                </w:rPr>
                <w:t>directors and executive officers.</w:t>
              </w:r>
            </w:hyperlink>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4"/>
                <w:szCs w:val="14"/>
                <w:color w:val="auto"/>
              </w:rPr>
            </w:pPr>
          </w:p>
        </w:tc>
        <w:tc>
          <w:tcPr>
            <w:tcW w:w="4760" w:type="dxa"/>
            <w:vAlign w:val="bottom"/>
            <w:gridSpan w:val="29"/>
          </w:tcPr>
          <w:p>
            <w:pPr>
              <w:spacing w:after="0"/>
              <w:rPr>
                <w:rFonts w:ascii="Times New Roman" w:cs="Times New Roman" w:eastAsia="Times New Roman" w:hAnsi="Times New Roman"/>
                <w:sz w:val="14"/>
                <w:szCs w:val="14"/>
                <w:color w:val="0000FF"/>
              </w:rPr>
            </w:pPr>
            <w:hyperlink r:id="rId46">
              <w:r>
                <w:rPr>
                  <w:rFonts w:ascii="Times New Roman" w:cs="Times New Roman" w:eastAsia="Times New Roman" w:hAnsi="Times New Roman"/>
                  <w:sz w:val="14"/>
                  <w:szCs w:val="14"/>
                  <w:color w:val="0000FF"/>
                </w:rPr>
                <w:t>2019 Equity Incentive Plan, as amended, and forms of award agreements</w:t>
              </w:r>
            </w:hyperlink>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5"/>
              </w:rPr>
              <w:t>S-1/A</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377-07612</w:t>
            </w:r>
          </w:p>
        </w:tc>
        <w:tc>
          <w:tcPr>
            <w:tcW w:w="8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3/17/2025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0000FF"/>
              <w:bottom w:val="single" w:sz="8" w:color="0000FF"/>
            </w:tcBorders>
            <w:gridSpan w:val="3"/>
          </w:tcPr>
          <w:p>
            <w:pPr>
              <w:spacing w:after="0" w:line="106" w:lineRule="exact"/>
              <w:rPr>
                <w:rFonts w:ascii="Times New Roman" w:cs="Times New Roman" w:eastAsia="Times New Roman" w:hAnsi="Times New Roman"/>
                <w:sz w:val="12"/>
                <w:szCs w:val="12"/>
                <w:color w:val="0000FF"/>
              </w:rPr>
            </w:pPr>
            <w:hyperlink r:id="rId46">
              <w:r>
                <w:rPr>
                  <w:rFonts w:ascii="Times New Roman" w:cs="Times New Roman" w:eastAsia="Times New Roman" w:hAnsi="Times New Roman"/>
                  <w:sz w:val="12"/>
                  <w:szCs w:val="12"/>
                  <w:color w:val="0000FF"/>
                </w:rPr>
                <w:t>thereunder.</w:t>
              </w:r>
            </w:hyperlink>
          </w:p>
        </w:tc>
        <w:tc>
          <w:tcPr>
            <w:tcW w:w="3460" w:type="dxa"/>
            <w:vAlign w:val="bottom"/>
            <w:tcBorders>
              <w:top w:val="single" w:sz="8" w:color="0000FF"/>
            </w:tcBorders>
            <w:gridSpan w:val="13"/>
          </w:tcPr>
          <w:p>
            <w:pPr>
              <w:spacing w:after="0"/>
              <w:rPr>
                <w:sz w:val="10"/>
                <w:szCs w:val="10"/>
                <w:color w:val="auto"/>
              </w:rPr>
            </w:pPr>
          </w:p>
        </w:tc>
        <w:tc>
          <w:tcPr>
            <w:tcW w:w="100" w:type="dxa"/>
            <w:vAlign w:val="bottom"/>
            <w:gridSpan w:val="2"/>
          </w:tcPr>
          <w:p>
            <w:pPr>
              <w:spacing w:after="0"/>
              <w:rPr>
                <w:sz w:val="10"/>
                <w:szCs w:val="10"/>
                <w:color w:val="auto"/>
              </w:rPr>
            </w:pPr>
          </w:p>
        </w:tc>
        <w:tc>
          <w:tcPr>
            <w:tcW w:w="2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4"/>
                <w:szCs w:val="14"/>
                <w:color w:val="auto"/>
              </w:rPr>
            </w:pPr>
          </w:p>
        </w:tc>
        <w:tc>
          <w:tcPr>
            <w:tcW w:w="404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w w:val="99"/>
              </w:rPr>
            </w:pPr>
            <w:hyperlink r:id="rId47">
              <w:r>
                <w:rPr>
                  <w:rFonts w:ascii="Times New Roman" w:cs="Times New Roman" w:eastAsia="Times New Roman" w:hAnsi="Times New Roman"/>
                  <w:sz w:val="14"/>
                  <w:szCs w:val="14"/>
                  <w:color w:val="0000FF"/>
                  <w:w w:val="99"/>
                </w:rPr>
                <w:t>2025 Equity Incentive Plan, and forms of award agreements thereunder.</w:t>
              </w:r>
            </w:hyperlink>
          </w:p>
        </w:tc>
        <w:tc>
          <w:tcPr>
            <w:tcW w:w="720" w:type="dxa"/>
            <w:vAlign w:val="bottom"/>
            <w:gridSpan w:val="15"/>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001-42852</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3/6/2026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3"/>
                <w:szCs w:val="13"/>
                <w:color w:val="auto"/>
              </w:rPr>
            </w:pPr>
          </w:p>
        </w:tc>
        <w:tc>
          <w:tcPr>
            <w:tcW w:w="4760" w:type="dxa"/>
            <w:vAlign w:val="bottom"/>
            <w:gridSpan w:val="29"/>
          </w:tcPr>
          <w:p>
            <w:pPr>
              <w:spacing w:after="0" w:line="159" w:lineRule="exact"/>
              <w:rPr>
                <w:rFonts w:ascii="Times New Roman" w:cs="Times New Roman" w:eastAsia="Times New Roman" w:hAnsi="Times New Roman"/>
                <w:sz w:val="14"/>
                <w:szCs w:val="14"/>
                <w:color w:val="0000FF"/>
              </w:rPr>
            </w:pPr>
            <w:hyperlink r:id="rId48">
              <w:r>
                <w:rPr>
                  <w:rFonts w:ascii="Times New Roman" w:cs="Times New Roman" w:eastAsia="Times New Roman" w:hAnsi="Times New Roman"/>
                  <w:sz w:val="14"/>
                  <w:szCs w:val="14"/>
                  <w:color w:val="0000FF"/>
                </w:rPr>
                <w:t>2025 Employee Stock Purchase Plan.</w:t>
              </w:r>
            </w:hyperlink>
          </w:p>
        </w:tc>
        <w:tc>
          <w:tcPr>
            <w:tcW w:w="80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color w:val="auto"/>
                <w:w w:val="97"/>
              </w:rPr>
              <w:t>10-K</w:t>
            </w:r>
          </w:p>
        </w:tc>
        <w:tc>
          <w:tcPr>
            <w:tcW w:w="13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001-42852</w:t>
            </w:r>
          </w:p>
        </w:tc>
        <w:tc>
          <w:tcPr>
            <w:tcW w:w="8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10.4</w:t>
            </w:r>
          </w:p>
        </w:tc>
        <w:tc>
          <w:tcPr>
            <w:tcW w:w="10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3/6/2026</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3"/>
                <w:szCs w:val="13"/>
                <w:color w:val="auto"/>
              </w:rPr>
            </w:pPr>
          </w:p>
        </w:tc>
        <w:tc>
          <w:tcPr>
            <w:tcW w:w="4760" w:type="dxa"/>
            <w:vAlign w:val="bottom"/>
            <w:gridSpan w:val="29"/>
          </w:tcPr>
          <w:p>
            <w:pPr>
              <w:spacing w:after="0" w:line="159" w:lineRule="exact"/>
              <w:rPr>
                <w:rFonts w:ascii="Times New Roman" w:cs="Times New Roman" w:eastAsia="Times New Roman" w:hAnsi="Times New Roman"/>
                <w:sz w:val="14"/>
                <w:szCs w:val="14"/>
                <w:color w:val="0000FF"/>
              </w:rPr>
            </w:pPr>
            <w:hyperlink r:id="rId49">
              <w:r>
                <w:rPr>
                  <w:rFonts w:ascii="Times New Roman" w:cs="Times New Roman" w:eastAsia="Times New Roman" w:hAnsi="Times New Roman"/>
                  <w:sz w:val="14"/>
                  <w:szCs w:val="14"/>
                  <w:color w:val="0000FF"/>
                </w:rPr>
                <w:t>Non-Employee Director Compensation Policy.</w:t>
              </w:r>
            </w:hyperlink>
          </w:p>
        </w:tc>
        <w:tc>
          <w:tcPr>
            <w:tcW w:w="80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color w:val="auto"/>
                <w:w w:val="95"/>
              </w:rPr>
              <w:t>S-1/A</w:t>
            </w:r>
          </w:p>
        </w:tc>
        <w:tc>
          <w:tcPr>
            <w:tcW w:w="13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333-289810</w:t>
            </w:r>
          </w:p>
        </w:tc>
        <w:tc>
          <w:tcPr>
            <w:tcW w:w="8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10.19</w:t>
            </w:r>
          </w:p>
        </w:tc>
        <w:tc>
          <w:tcPr>
            <w:tcW w:w="10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9/10/2025</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4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9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10.6#†</w:t>
            </w:r>
          </w:p>
        </w:tc>
        <w:tc>
          <w:tcPr>
            <w:tcW w:w="4760" w:type="dxa"/>
            <w:vAlign w:val="bottom"/>
            <w:gridSpan w:val="29"/>
          </w:tcPr>
          <w:p>
            <w:pPr>
              <w:spacing w:after="0" w:line="159" w:lineRule="exact"/>
              <w:rPr>
                <w:rFonts w:ascii="Times New Roman" w:cs="Times New Roman" w:eastAsia="Times New Roman" w:hAnsi="Times New Roman"/>
                <w:sz w:val="14"/>
                <w:szCs w:val="14"/>
                <w:color w:val="0000FF"/>
              </w:rPr>
            </w:pPr>
            <w:hyperlink r:id="rId50">
              <w:r>
                <w:rPr>
                  <w:rFonts w:ascii="Times New Roman" w:cs="Times New Roman" w:eastAsia="Times New Roman" w:hAnsi="Times New Roman"/>
                  <w:sz w:val="14"/>
                  <w:szCs w:val="14"/>
                  <w:color w:val="0000FF"/>
                </w:rPr>
                <w:t>Executive Severance Plan, and form of participation letter thereunder.</w:t>
              </w:r>
            </w:hyperlink>
          </w:p>
        </w:tc>
        <w:tc>
          <w:tcPr>
            <w:tcW w:w="80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color w:val="auto"/>
                <w:w w:val="95"/>
              </w:rPr>
              <w:t>S-1/A</w:t>
            </w:r>
          </w:p>
        </w:tc>
        <w:tc>
          <w:tcPr>
            <w:tcW w:w="13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333-289810</w:t>
            </w:r>
          </w:p>
        </w:tc>
        <w:tc>
          <w:tcPr>
            <w:tcW w:w="8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10.20</w:t>
            </w:r>
          </w:p>
        </w:tc>
        <w:tc>
          <w:tcPr>
            <w:tcW w:w="10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9/10/2025</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3"/>
                <w:szCs w:val="13"/>
                <w:color w:val="auto"/>
              </w:rPr>
            </w:pPr>
          </w:p>
        </w:tc>
        <w:tc>
          <w:tcPr>
            <w:tcW w:w="4760" w:type="dxa"/>
            <w:vAlign w:val="bottom"/>
            <w:gridSpan w:val="29"/>
          </w:tcPr>
          <w:p>
            <w:pPr>
              <w:spacing w:after="0" w:line="159" w:lineRule="exact"/>
              <w:rPr>
                <w:rFonts w:ascii="Times New Roman" w:cs="Times New Roman" w:eastAsia="Times New Roman" w:hAnsi="Times New Roman"/>
                <w:sz w:val="14"/>
                <w:szCs w:val="14"/>
                <w:color w:val="0000FF"/>
              </w:rPr>
            </w:pPr>
            <w:hyperlink r:id="rId51">
              <w:r>
                <w:rPr>
                  <w:rFonts w:ascii="Times New Roman" w:cs="Times New Roman" w:eastAsia="Times New Roman" w:hAnsi="Times New Roman"/>
                  <w:sz w:val="14"/>
                  <w:szCs w:val="14"/>
                  <w:color w:val="0000FF"/>
                </w:rPr>
                <w:t>Offer Letter, dated November 19, 2020, by and between the Registrant and Jason</w:t>
              </w:r>
            </w:hyperlink>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S-1</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333-289810</w:t>
            </w:r>
          </w:p>
        </w:tc>
        <w:tc>
          <w:tcPr>
            <w:tcW w:w="8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1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8/22/2025</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top w:val="single" w:sz="8" w:color="0000FF"/>
              <w:bottom w:val="single" w:sz="8" w:color="0000FF"/>
            </w:tcBorders>
            <w:gridSpan w:val="2"/>
          </w:tcPr>
          <w:p>
            <w:pPr>
              <w:spacing w:after="0" w:line="106" w:lineRule="exact"/>
              <w:rPr>
                <w:rFonts w:ascii="Times New Roman" w:cs="Times New Roman" w:eastAsia="Times New Roman" w:hAnsi="Times New Roman"/>
                <w:sz w:val="12"/>
                <w:szCs w:val="12"/>
                <w:color w:val="0000FF"/>
              </w:rPr>
            </w:pPr>
            <w:hyperlink r:id="rId51">
              <w:r>
                <w:rPr>
                  <w:rFonts w:ascii="Times New Roman" w:cs="Times New Roman" w:eastAsia="Times New Roman" w:hAnsi="Times New Roman"/>
                  <w:sz w:val="12"/>
                  <w:szCs w:val="12"/>
                  <w:color w:val="0000FF"/>
                </w:rPr>
                <w:t>Beesley.</w:t>
              </w:r>
            </w:hyperlink>
          </w:p>
        </w:tc>
        <w:tc>
          <w:tcPr>
            <w:tcW w:w="2500" w:type="dxa"/>
            <w:vAlign w:val="bottom"/>
            <w:tcBorders>
              <w:top w:val="single" w:sz="8" w:color="0000FF"/>
            </w:tcBorders>
            <w:gridSpan w:val="7"/>
          </w:tcPr>
          <w:p>
            <w:pPr>
              <w:spacing w:after="0"/>
              <w:rPr>
                <w:sz w:val="10"/>
                <w:szCs w:val="10"/>
                <w:color w:val="auto"/>
              </w:rPr>
            </w:pPr>
          </w:p>
        </w:tc>
        <w:tc>
          <w:tcPr>
            <w:tcW w:w="540" w:type="dxa"/>
            <w:vAlign w:val="bottom"/>
            <w:tcBorders>
              <w:top w:val="single" w:sz="8" w:color="0000FF"/>
            </w:tcBorders>
            <w:gridSpan w:val="3"/>
          </w:tcPr>
          <w:p>
            <w:pPr>
              <w:spacing w:after="0"/>
              <w:rPr>
                <w:sz w:val="10"/>
                <w:szCs w:val="10"/>
                <w:color w:val="auto"/>
              </w:rPr>
            </w:pPr>
          </w:p>
        </w:tc>
        <w:tc>
          <w:tcPr>
            <w:tcW w:w="560" w:type="dxa"/>
            <w:vAlign w:val="bottom"/>
            <w:tcBorders>
              <w:top w:val="single" w:sz="8" w:color="0000FF"/>
            </w:tcBorders>
            <w:gridSpan w:val="3"/>
          </w:tcPr>
          <w:p>
            <w:pPr>
              <w:spacing w:after="0"/>
              <w:rPr>
                <w:sz w:val="10"/>
                <w:szCs w:val="10"/>
                <w:color w:val="auto"/>
              </w:rPr>
            </w:pPr>
          </w:p>
        </w:tc>
        <w:tc>
          <w:tcPr>
            <w:tcW w:w="120" w:type="dxa"/>
            <w:vAlign w:val="bottom"/>
            <w:tcBorders>
              <w:top w:val="single" w:sz="8" w:color="0000FF"/>
            </w:tcBorders>
            <w:gridSpan w:val="3"/>
          </w:tcPr>
          <w:p>
            <w:pPr>
              <w:spacing w:after="0"/>
              <w:rPr>
                <w:sz w:val="10"/>
                <w:szCs w:val="10"/>
                <w:color w:val="auto"/>
              </w:rPr>
            </w:pPr>
          </w:p>
        </w:tc>
        <w:tc>
          <w:tcPr>
            <w:tcW w:w="200" w:type="dxa"/>
            <w:vAlign w:val="bottom"/>
            <w:tcBorders>
              <w:top w:val="single" w:sz="8" w:color="0000FF"/>
            </w:tcBorders>
            <w:gridSpan w:val="2"/>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gridSpan w:val="2"/>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4"/>
                <w:szCs w:val="14"/>
                <w:color w:val="auto"/>
              </w:rPr>
            </w:pPr>
          </w:p>
        </w:tc>
        <w:tc>
          <w:tcPr>
            <w:tcW w:w="4760" w:type="dxa"/>
            <w:vAlign w:val="bottom"/>
            <w:gridSpan w:val="29"/>
          </w:tcPr>
          <w:p>
            <w:pPr>
              <w:spacing w:after="0"/>
              <w:rPr>
                <w:rFonts w:ascii="Times New Roman" w:cs="Times New Roman" w:eastAsia="Times New Roman" w:hAnsi="Times New Roman"/>
                <w:sz w:val="14"/>
                <w:szCs w:val="14"/>
                <w:color w:val="0000FF"/>
              </w:rPr>
            </w:pPr>
            <w:hyperlink r:id="rId52">
              <w:r>
                <w:rPr>
                  <w:rFonts w:ascii="Times New Roman" w:cs="Times New Roman" w:eastAsia="Times New Roman" w:hAnsi="Times New Roman"/>
                  <w:sz w:val="14"/>
                  <w:szCs w:val="14"/>
                  <w:color w:val="0000FF"/>
                </w:rPr>
                <w:t>Stand-Alone Restricted Stock Unit Agreement, dated February 25, 2025.</w:t>
              </w:r>
            </w:hyperlink>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333-289810</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10.21</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8/22/2025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60" w:type="dxa"/>
            <w:vAlign w:val="bottom"/>
            <w:gridSpan w:val="8"/>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3"/>
                <w:szCs w:val="13"/>
                <w:color w:val="auto"/>
              </w:rPr>
            </w:pPr>
          </w:p>
        </w:tc>
        <w:tc>
          <w:tcPr>
            <w:tcW w:w="4760" w:type="dxa"/>
            <w:vAlign w:val="bottom"/>
            <w:gridSpan w:val="29"/>
          </w:tcPr>
          <w:p>
            <w:pPr>
              <w:spacing w:after="0" w:line="159" w:lineRule="exact"/>
              <w:rPr>
                <w:rFonts w:ascii="Times New Roman" w:cs="Times New Roman" w:eastAsia="Times New Roman" w:hAnsi="Times New Roman"/>
                <w:sz w:val="14"/>
                <w:szCs w:val="14"/>
                <w:color w:val="0000FF"/>
              </w:rPr>
            </w:pPr>
            <w:hyperlink r:id="rId53">
              <w:r>
                <w:rPr>
                  <w:rFonts w:ascii="Times New Roman" w:cs="Times New Roman" w:eastAsia="Times New Roman" w:hAnsi="Times New Roman"/>
                  <w:sz w:val="14"/>
                  <w:szCs w:val="14"/>
                  <w:color w:val="0000FF"/>
                </w:rPr>
                <w:t>Restricted Stock Unit Agreement Cancellation Agreement, dated August 20, 2025.</w:t>
              </w:r>
            </w:hyperlink>
          </w:p>
        </w:tc>
        <w:tc>
          <w:tcPr>
            <w:tcW w:w="80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color w:val="auto"/>
              </w:rPr>
              <w:t>S-1</w:t>
            </w:r>
          </w:p>
        </w:tc>
        <w:tc>
          <w:tcPr>
            <w:tcW w:w="13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333-289810</w:t>
            </w:r>
          </w:p>
        </w:tc>
        <w:tc>
          <w:tcPr>
            <w:tcW w:w="8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10.22</w:t>
            </w:r>
          </w:p>
        </w:tc>
        <w:tc>
          <w:tcPr>
            <w:tcW w:w="10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8/22/2025</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10.10†</w:t>
            </w:r>
          </w:p>
        </w:tc>
        <w:tc>
          <w:tcPr>
            <w:tcW w:w="4200" w:type="dxa"/>
            <w:vAlign w:val="bottom"/>
            <w:tcBorders>
              <w:top w:val="single" w:sz="8" w:color="0000FF"/>
              <w:bottom w:val="single" w:sz="8" w:color="0000FF"/>
            </w:tcBorders>
            <w:gridSpan w:val="18"/>
          </w:tcPr>
          <w:p>
            <w:pPr>
              <w:spacing w:after="0" w:line="159" w:lineRule="exact"/>
              <w:rPr>
                <w:rFonts w:ascii="Times New Roman" w:cs="Times New Roman" w:eastAsia="Times New Roman" w:hAnsi="Times New Roman"/>
                <w:sz w:val="14"/>
                <w:szCs w:val="14"/>
                <w:color w:val="0000FF"/>
                <w:w w:val="99"/>
              </w:rPr>
            </w:pPr>
            <w:hyperlink r:id="rId54">
              <w:r>
                <w:rPr>
                  <w:rFonts w:ascii="Times New Roman" w:cs="Times New Roman" w:eastAsia="Times New Roman" w:hAnsi="Times New Roman"/>
                  <w:sz w:val="14"/>
                  <w:szCs w:val="14"/>
                  <w:color w:val="0000FF"/>
                  <w:w w:val="99"/>
                </w:rPr>
                <w:t>Credit Agreement, dated September 4, 2025, by and among the Registrant,</w:t>
              </w:r>
            </w:hyperlink>
          </w:p>
        </w:tc>
        <w:tc>
          <w:tcPr>
            <w:tcW w:w="440" w:type="dxa"/>
            <w:vAlign w:val="bottom"/>
            <w:tcBorders>
              <w:top w:val="single" w:sz="8" w:color="0000FF"/>
            </w:tcBorders>
            <w:gridSpan w:val="9"/>
          </w:tcPr>
          <w:p>
            <w:pPr>
              <w:spacing w:after="0"/>
              <w:rPr>
                <w:sz w:val="13"/>
                <w:szCs w:val="13"/>
                <w:color w:val="auto"/>
              </w:rPr>
            </w:pPr>
          </w:p>
        </w:tc>
        <w:tc>
          <w:tcPr>
            <w:tcW w:w="12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760" w:type="dxa"/>
            <w:vAlign w:val="bottom"/>
            <w:gridSpan w:val="29"/>
          </w:tcPr>
          <w:p>
            <w:pPr>
              <w:spacing w:after="0" w:line="117" w:lineRule="exact"/>
              <w:rPr>
                <w:rFonts w:ascii="Times New Roman" w:cs="Times New Roman" w:eastAsia="Times New Roman" w:hAnsi="Times New Roman"/>
                <w:sz w:val="13"/>
                <w:szCs w:val="13"/>
                <w:color w:val="0000FF"/>
              </w:rPr>
            </w:pPr>
            <w:hyperlink r:id="rId54">
              <w:r>
                <w:rPr>
                  <w:rFonts w:ascii="Times New Roman" w:cs="Times New Roman" w:eastAsia="Times New Roman" w:hAnsi="Times New Roman"/>
                  <w:sz w:val="13"/>
                  <w:szCs w:val="13"/>
                  <w:color w:val="0000FF"/>
                </w:rPr>
                <w:t>JPMorgan Chase Bank, N.A., as Administrative Agent, and the Lenders named</w:t>
              </w:r>
            </w:hyperlink>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5"/>
              </w:rPr>
              <w:t>S-1/A</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333-289810</w:t>
            </w:r>
          </w:p>
        </w:tc>
        <w:tc>
          <w:tcPr>
            <w:tcW w:w="8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9/10/2025</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40" w:type="dxa"/>
            <w:vAlign w:val="bottom"/>
            <w:tcBorders>
              <w:top w:val="single" w:sz="8" w:color="0000FF"/>
            </w:tcBorders>
            <w:gridSpan w:val="22"/>
          </w:tcPr>
          <w:p>
            <w:pPr>
              <w:spacing w:after="0" w:line="127" w:lineRule="exact"/>
              <w:rPr>
                <w:rFonts w:ascii="Times New Roman" w:cs="Times New Roman" w:eastAsia="Times New Roman" w:hAnsi="Times New Roman"/>
                <w:sz w:val="14"/>
                <w:szCs w:val="14"/>
                <w:color w:val="0000FF"/>
              </w:rPr>
            </w:pPr>
            <w:hyperlink r:id="rId54">
              <w:r>
                <w:rPr>
                  <w:rFonts w:ascii="Times New Roman" w:cs="Times New Roman" w:eastAsia="Times New Roman" w:hAnsi="Times New Roman"/>
                  <w:sz w:val="14"/>
                  <w:szCs w:val="14"/>
                  <w:color w:val="0000FF"/>
                </w:rPr>
                <w:t>therein.</w:t>
              </w:r>
            </w:hyperlink>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160" w:type="dxa"/>
            <w:vAlign w:val="bottom"/>
            <w:gridSpan w:val="3"/>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60" w:type="dxa"/>
            <w:vAlign w:val="bottom"/>
            <w:gridSpan w:val="8"/>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9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10.11†</w:t>
            </w:r>
          </w:p>
        </w:tc>
        <w:tc>
          <w:tcPr>
            <w:tcW w:w="4760" w:type="dxa"/>
            <w:vAlign w:val="bottom"/>
            <w:gridSpan w:val="29"/>
          </w:tcPr>
          <w:p>
            <w:pPr>
              <w:spacing w:after="0" w:line="159" w:lineRule="exact"/>
              <w:rPr>
                <w:rFonts w:ascii="Times New Roman" w:cs="Times New Roman" w:eastAsia="Times New Roman" w:hAnsi="Times New Roman"/>
                <w:sz w:val="14"/>
                <w:szCs w:val="14"/>
                <w:color w:val="0000FF"/>
              </w:rPr>
            </w:pPr>
            <w:hyperlink r:id="rId55">
              <w:r>
                <w:rPr>
                  <w:rFonts w:ascii="Times New Roman" w:cs="Times New Roman" w:eastAsia="Times New Roman" w:hAnsi="Times New Roman"/>
                  <w:sz w:val="14"/>
                  <w:szCs w:val="14"/>
                  <w:color w:val="0000FF"/>
                </w:rPr>
                <w:t>Lease by and between the Registrant and Innovation Pointe Three, LLC, dated</w:t>
              </w:r>
            </w:hyperlink>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0" w:type="dxa"/>
            <w:vAlign w:val="bottom"/>
            <w:tcBorders>
              <w:top w:val="single" w:sz="8" w:color="0000FF"/>
              <w:bottom w:val="single" w:sz="8" w:color="0000FF"/>
            </w:tcBorders>
            <w:gridSpan w:val="20"/>
          </w:tcPr>
          <w:p>
            <w:pPr>
              <w:spacing w:after="0" w:line="117" w:lineRule="exact"/>
              <w:rPr>
                <w:rFonts w:ascii="Times New Roman" w:cs="Times New Roman" w:eastAsia="Times New Roman" w:hAnsi="Times New Roman"/>
                <w:sz w:val="13"/>
                <w:szCs w:val="13"/>
                <w:color w:val="0000FF"/>
              </w:rPr>
            </w:pPr>
            <w:hyperlink r:id="rId55">
              <w:r>
                <w:rPr>
                  <w:rFonts w:ascii="Times New Roman" w:cs="Times New Roman" w:eastAsia="Times New Roman" w:hAnsi="Times New Roman"/>
                  <w:sz w:val="13"/>
                  <w:szCs w:val="13"/>
                  <w:color w:val="0000FF"/>
                </w:rPr>
                <w:t>May 5, 2020; First Amendment to Lease Agreement, dated February 16, 2021;</w:t>
              </w:r>
            </w:hyperlink>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140" w:type="dxa"/>
            <w:vAlign w:val="bottom"/>
            <w:gridSpan w:val="3"/>
          </w:tcPr>
          <w:p>
            <w:pPr>
              <w:spacing w:after="0"/>
              <w:rPr>
                <w:sz w:val="10"/>
                <w:szCs w:val="10"/>
                <w:color w:val="auto"/>
              </w:rPr>
            </w:pPr>
          </w:p>
        </w:tc>
        <w:tc>
          <w:tcPr>
            <w:tcW w:w="160" w:type="dxa"/>
            <w:vAlign w:val="bottom"/>
            <w:gridSpan w:val="3"/>
          </w:tcPr>
          <w:p>
            <w:pPr>
              <w:spacing w:after="0"/>
              <w:rPr>
                <w:sz w:val="10"/>
                <w:szCs w:val="10"/>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S-1</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333-289810</w:t>
            </w:r>
          </w:p>
        </w:tc>
        <w:tc>
          <w:tcPr>
            <w:tcW w:w="8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8/22/2025</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20" w:type="dxa"/>
            <w:vAlign w:val="bottom"/>
            <w:tcBorders>
              <w:bottom w:val="single" w:sz="8" w:color="0000FF"/>
            </w:tcBorders>
            <w:gridSpan w:val="12"/>
          </w:tcPr>
          <w:p>
            <w:pPr>
              <w:spacing w:after="0" w:line="127" w:lineRule="exact"/>
              <w:rPr>
                <w:rFonts w:ascii="Times New Roman" w:cs="Times New Roman" w:eastAsia="Times New Roman" w:hAnsi="Times New Roman"/>
                <w:sz w:val="14"/>
                <w:szCs w:val="14"/>
                <w:color w:val="0000FF"/>
                <w:w w:val="99"/>
              </w:rPr>
            </w:pPr>
            <w:hyperlink r:id="rId55">
              <w:r>
                <w:rPr>
                  <w:rFonts w:ascii="Times New Roman" w:cs="Times New Roman" w:eastAsia="Times New Roman" w:hAnsi="Times New Roman"/>
                  <w:sz w:val="14"/>
                  <w:szCs w:val="14"/>
                  <w:color w:val="0000FF"/>
                  <w:w w:val="99"/>
                </w:rPr>
                <w:t>Second Amendment to Lease Agreement, dated July 27, 2023.</w:t>
              </w:r>
            </w:hyperlink>
          </w:p>
        </w:tc>
        <w:tc>
          <w:tcPr>
            <w:tcW w:w="900" w:type="dxa"/>
            <w:vAlign w:val="bottom"/>
            <w:gridSpan w:val="9"/>
          </w:tcPr>
          <w:p>
            <w:pPr>
              <w:spacing w:after="0"/>
              <w:rPr>
                <w:sz w:val="11"/>
                <w:szCs w:val="11"/>
                <w:color w:val="auto"/>
              </w:rPr>
            </w:pPr>
          </w:p>
        </w:tc>
        <w:tc>
          <w:tcPr>
            <w:tcW w:w="40" w:type="dxa"/>
            <w:vAlign w:val="bottom"/>
            <w:gridSpan w:val="2"/>
          </w:tcPr>
          <w:p>
            <w:pPr>
              <w:spacing w:after="0"/>
              <w:rPr>
                <w:sz w:val="11"/>
                <w:szCs w:val="11"/>
                <w:color w:val="auto"/>
              </w:rPr>
            </w:pPr>
          </w:p>
        </w:tc>
        <w:tc>
          <w:tcPr>
            <w:tcW w:w="140" w:type="dxa"/>
            <w:vAlign w:val="bottom"/>
            <w:gridSpan w:val="3"/>
          </w:tcPr>
          <w:p>
            <w:pPr>
              <w:spacing w:after="0"/>
              <w:rPr>
                <w:sz w:val="11"/>
                <w:szCs w:val="11"/>
                <w:color w:val="auto"/>
              </w:rPr>
            </w:pPr>
          </w:p>
        </w:tc>
        <w:tc>
          <w:tcPr>
            <w:tcW w:w="160" w:type="dxa"/>
            <w:vAlign w:val="bottom"/>
            <w:gridSpan w:val="3"/>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10.12†</w:t>
            </w:r>
          </w:p>
        </w:tc>
        <w:tc>
          <w:tcPr>
            <w:tcW w:w="4760" w:type="dxa"/>
            <w:vAlign w:val="bottom"/>
            <w:gridSpan w:val="29"/>
          </w:tcPr>
          <w:p>
            <w:pPr>
              <w:spacing w:after="0" w:line="159" w:lineRule="exact"/>
              <w:rPr>
                <w:rFonts w:ascii="Times New Roman" w:cs="Times New Roman" w:eastAsia="Times New Roman" w:hAnsi="Times New Roman"/>
                <w:sz w:val="14"/>
                <w:szCs w:val="14"/>
                <w:color w:val="0000FF"/>
              </w:rPr>
            </w:pPr>
            <w:hyperlink r:id="rId56">
              <w:r>
                <w:rPr>
                  <w:rFonts w:ascii="Times New Roman" w:cs="Times New Roman" w:eastAsia="Times New Roman" w:hAnsi="Times New Roman"/>
                  <w:sz w:val="14"/>
                  <w:szCs w:val="14"/>
                  <w:color w:val="0000FF"/>
                </w:rPr>
                <w:t>Sublease by and between the Registrant and Route App, Inc., dated July 27, 2023.</w:t>
              </w:r>
            </w:hyperlink>
          </w:p>
        </w:tc>
        <w:tc>
          <w:tcPr>
            <w:tcW w:w="80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color w:val="auto"/>
              </w:rPr>
              <w:t>S-1</w:t>
            </w:r>
          </w:p>
        </w:tc>
        <w:tc>
          <w:tcPr>
            <w:tcW w:w="13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333-289810</w:t>
            </w:r>
          </w:p>
        </w:tc>
        <w:tc>
          <w:tcPr>
            <w:tcW w:w="8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10.16</w:t>
            </w:r>
          </w:p>
        </w:tc>
        <w:tc>
          <w:tcPr>
            <w:tcW w:w="10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8/22/2025</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3"/>
                <w:szCs w:val="13"/>
                <w:color w:val="auto"/>
              </w:rPr>
            </w:pPr>
          </w:p>
        </w:tc>
        <w:tc>
          <w:tcPr>
            <w:tcW w:w="4600" w:type="dxa"/>
            <w:vAlign w:val="bottom"/>
            <w:tcBorders>
              <w:top w:val="single" w:sz="8" w:color="0000FF"/>
            </w:tcBorders>
            <w:gridSpan w:val="26"/>
          </w:tcPr>
          <w:p>
            <w:pPr>
              <w:spacing w:after="0" w:line="159" w:lineRule="exact"/>
              <w:rPr>
                <w:rFonts w:ascii="Times New Roman" w:cs="Times New Roman" w:eastAsia="Times New Roman" w:hAnsi="Times New Roman"/>
                <w:sz w:val="14"/>
                <w:szCs w:val="14"/>
                <w:color w:val="0000FF"/>
              </w:rPr>
            </w:pPr>
            <w:hyperlink r:id="rId57">
              <w:r>
                <w:rPr>
                  <w:rFonts w:ascii="Times New Roman" w:cs="Times New Roman" w:eastAsia="Times New Roman" w:hAnsi="Times New Roman"/>
                  <w:sz w:val="14"/>
                  <w:szCs w:val="14"/>
                  <w:color w:val="0000FF"/>
                </w:rPr>
                <w:t>Lease by and between the Registrant and Dugan Financing LLC, dated July 24,</w:t>
              </w:r>
            </w:hyperlink>
          </w:p>
        </w:tc>
        <w:tc>
          <w:tcPr>
            <w:tcW w:w="160" w:type="dxa"/>
            <w:vAlign w:val="bottom"/>
            <w:gridSpan w:val="3"/>
          </w:tcPr>
          <w:p>
            <w:pPr>
              <w:spacing w:after="0"/>
              <w:rPr>
                <w:sz w:val="13"/>
                <w:szCs w:val="13"/>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S-1</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333-289810</w:t>
            </w:r>
          </w:p>
        </w:tc>
        <w:tc>
          <w:tcPr>
            <w:tcW w:w="8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8/22/2025</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80" w:type="dxa"/>
            <w:vAlign w:val="bottom"/>
            <w:tcBorders>
              <w:top w:val="single" w:sz="8" w:color="0000FF"/>
              <w:bottom w:val="single" w:sz="8" w:color="0000FF"/>
            </w:tcBorders>
            <w:gridSpan w:val="9"/>
          </w:tcPr>
          <w:p>
            <w:pPr>
              <w:spacing w:after="0" w:line="106" w:lineRule="exact"/>
              <w:rPr>
                <w:rFonts w:ascii="Times New Roman" w:cs="Times New Roman" w:eastAsia="Times New Roman" w:hAnsi="Times New Roman"/>
                <w:sz w:val="12"/>
                <w:szCs w:val="12"/>
                <w:color w:val="0000FF"/>
              </w:rPr>
            </w:pPr>
            <w:hyperlink r:id="rId57">
              <w:r>
                <w:rPr>
                  <w:rFonts w:ascii="Times New Roman" w:cs="Times New Roman" w:eastAsia="Times New Roman" w:hAnsi="Times New Roman"/>
                  <w:sz w:val="12"/>
                  <w:szCs w:val="12"/>
                  <w:color w:val="0000FF"/>
                </w:rPr>
                <w:t>2020; First Lease Amendment, dated March 3, 2021.</w:t>
              </w:r>
            </w:hyperlink>
          </w:p>
        </w:tc>
        <w:tc>
          <w:tcPr>
            <w:tcW w:w="1480" w:type="dxa"/>
            <w:vAlign w:val="bottom"/>
            <w:tcBorders>
              <w:top w:val="single" w:sz="8" w:color="0000FF"/>
            </w:tcBorders>
            <w:gridSpan w:val="14"/>
          </w:tcPr>
          <w:p>
            <w:pPr>
              <w:spacing w:after="0"/>
              <w:rPr>
                <w:sz w:val="10"/>
                <w:szCs w:val="10"/>
                <w:color w:val="auto"/>
              </w:rPr>
            </w:pPr>
          </w:p>
        </w:tc>
        <w:tc>
          <w:tcPr>
            <w:tcW w:w="300" w:type="dxa"/>
            <w:vAlign w:val="bottom"/>
            <w:gridSpan w:val="6"/>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1200"/>
          </w:cols>
          <w:pgMar w:left="300" w:top="125"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100" w:type="dxa"/>
            <w:vAlign w:val="bottom"/>
          </w:tcPr>
          <w:p>
            <w:pPr>
              <w:spacing w:after="0"/>
              <w:rPr>
                <w:sz w:val="13"/>
                <w:szCs w:val="13"/>
                <w:color w:val="auto"/>
              </w:rPr>
            </w:pPr>
          </w:p>
        </w:tc>
        <w:tc>
          <w:tcPr>
            <w:tcW w:w="47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1"/>
                <w:szCs w:val="11"/>
                <w:b w:val="1"/>
                <w:bCs w:val="1"/>
                <w:color w:val="auto"/>
              </w:rPr>
              <w:t>Exhibit Title</w:t>
            </w:r>
          </w:p>
        </w:tc>
        <w:tc>
          <w:tcPr>
            <w:tcW w:w="6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Form</w:t>
            </w:r>
          </w:p>
        </w:tc>
        <w:tc>
          <w:tcPr>
            <w:tcW w:w="8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80" w:type="dxa"/>
            <w:vAlign w:val="bottom"/>
          </w:tcPr>
          <w:p>
            <w:pPr>
              <w:spacing w:after="0"/>
              <w:rPr>
                <w:sz w:val="13"/>
                <w:szCs w:val="13"/>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Filing Date</w:t>
            </w:r>
          </w:p>
        </w:tc>
        <w:tc>
          <w:tcPr>
            <w:tcW w:w="100" w:type="dxa"/>
            <w:vAlign w:val="bottom"/>
          </w:tcPr>
          <w:p>
            <w:pPr>
              <w:spacing w:after="0"/>
              <w:rPr>
                <w:sz w:val="13"/>
                <w:szCs w:val="13"/>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Filed Herewith</w:t>
            </w:r>
          </w:p>
        </w:tc>
        <w:tc>
          <w:tcPr>
            <w:tcW w:w="0" w:type="dxa"/>
            <w:vAlign w:val="bottom"/>
          </w:tcPr>
          <w:p>
            <w:pPr>
              <w:spacing w:after="0"/>
              <w:rPr>
                <w:sz w:val="1"/>
                <w:szCs w:val="1"/>
                <w:color w:val="auto"/>
              </w:rPr>
            </w:pPr>
          </w:p>
        </w:tc>
      </w:tr>
      <w:tr>
        <w:trPr>
          <w:trHeight w:val="17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10.14†</w:t>
            </w:r>
          </w:p>
        </w:tc>
        <w:tc>
          <w:tcPr>
            <w:tcW w:w="4760" w:type="dxa"/>
            <w:vAlign w:val="bottom"/>
            <w:gridSpan w:val="9"/>
          </w:tcPr>
          <w:p>
            <w:pPr>
              <w:spacing w:after="0"/>
              <w:rPr>
                <w:rFonts w:ascii="Times New Roman" w:cs="Times New Roman" w:eastAsia="Times New Roman" w:hAnsi="Times New Roman"/>
                <w:sz w:val="14"/>
                <w:szCs w:val="14"/>
                <w:color w:val="0000FF"/>
              </w:rPr>
            </w:pPr>
            <w:hyperlink r:id="rId58">
              <w:r>
                <w:rPr>
                  <w:rFonts w:ascii="Times New Roman" w:cs="Times New Roman" w:eastAsia="Times New Roman" w:hAnsi="Times New Roman"/>
                  <w:sz w:val="14"/>
                  <w:szCs w:val="14"/>
                  <w:color w:val="0000FF"/>
                </w:rPr>
                <w:t>Standard Industrial Lease Agreement by and between the Registrant and Columbia</w:t>
              </w:r>
            </w:hyperlink>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S-1</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333-289810</w:t>
            </w:r>
          </w:p>
        </w:tc>
        <w:tc>
          <w:tcPr>
            <w:tcW w:w="80" w:type="dxa"/>
            <w:vAlign w:val="bottom"/>
          </w:tcPr>
          <w:p>
            <w:pPr>
              <w:spacing w:after="0"/>
              <w:rPr>
                <w:sz w:val="15"/>
                <w:szCs w:val="15"/>
                <w:color w:val="auto"/>
              </w:rPr>
            </w:pPr>
          </w:p>
        </w:tc>
        <w:tc>
          <w:tcPr>
            <w:tcW w:w="8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8/22/2025</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tcBorders>
              <w:top w:val="single" w:sz="8" w:color="0000FF"/>
              <w:bottom w:val="single" w:sz="8" w:color="0000FF"/>
            </w:tcBorders>
            <w:gridSpan w:val="4"/>
          </w:tcPr>
          <w:p>
            <w:pPr>
              <w:spacing w:after="0" w:line="106" w:lineRule="exact"/>
              <w:rPr>
                <w:rFonts w:ascii="Times New Roman" w:cs="Times New Roman" w:eastAsia="Times New Roman" w:hAnsi="Times New Roman"/>
                <w:sz w:val="12"/>
                <w:szCs w:val="12"/>
                <w:color w:val="0000FF"/>
              </w:rPr>
            </w:pPr>
            <w:hyperlink r:id="rId58">
              <w:r>
                <w:rPr>
                  <w:rFonts w:ascii="Times New Roman" w:cs="Times New Roman" w:eastAsia="Times New Roman" w:hAnsi="Times New Roman"/>
                  <w:sz w:val="12"/>
                  <w:szCs w:val="12"/>
                  <w:color w:val="0000FF"/>
                </w:rPr>
                <w:t>Nevada Carey Industrial, LLC, dated June 19, 2024.</w:t>
              </w:r>
            </w:hyperlink>
          </w:p>
        </w:tc>
        <w:tc>
          <w:tcPr>
            <w:tcW w:w="1740" w:type="dxa"/>
            <w:vAlign w:val="bottom"/>
            <w:tcBorders>
              <w:top w:val="single" w:sz="8" w:color="0000FF"/>
            </w:tcBorders>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4"/>
                <w:szCs w:val="14"/>
                <w:color w:val="auto"/>
              </w:rPr>
            </w:pPr>
          </w:p>
        </w:tc>
        <w:tc>
          <w:tcPr>
            <w:tcW w:w="170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w w:val="99"/>
              </w:rPr>
            </w:pPr>
            <w:hyperlink r:id="rId59">
              <w:r>
                <w:rPr>
                  <w:rFonts w:ascii="Times New Roman" w:cs="Times New Roman" w:eastAsia="Times New Roman" w:hAnsi="Times New Roman"/>
                  <w:sz w:val="14"/>
                  <w:szCs w:val="14"/>
                  <w:color w:val="0000FF"/>
                  <w:w w:val="99"/>
                </w:rPr>
                <w:t>Subsidiaries of the Registrant.</w:t>
              </w:r>
            </w:hyperlink>
          </w:p>
        </w:tc>
        <w:tc>
          <w:tcPr>
            <w:tcW w:w="3060" w:type="dxa"/>
            <w:vAlign w:val="bottom"/>
            <w:gridSpan w:val="7"/>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S-1/A</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333-289810</w:t>
            </w:r>
          </w:p>
        </w:tc>
        <w:tc>
          <w:tcPr>
            <w:tcW w:w="80" w:type="dxa"/>
            <w:vAlign w:val="bottom"/>
          </w:tcPr>
          <w:p>
            <w:pPr>
              <w:spacing w:after="0"/>
              <w:rPr>
                <w:sz w:val="14"/>
                <w:szCs w:val="14"/>
                <w:color w:val="auto"/>
              </w:rPr>
            </w:pPr>
          </w:p>
        </w:tc>
        <w:tc>
          <w:tcPr>
            <w:tcW w:w="84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9/10/2025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3"/>
                <w:szCs w:val="13"/>
                <w:color w:val="auto"/>
              </w:rPr>
            </w:pPr>
          </w:p>
        </w:tc>
        <w:tc>
          <w:tcPr>
            <w:tcW w:w="4660" w:type="dxa"/>
            <w:vAlign w:val="bottom"/>
            <w:tcBorders>
              <w:bottom w:val="single" w:sz="8" w:color="0000FF"/>
            </w:tcBorders>
            <w:gridSpan w:val="6"/>
          </w:tcPr>
          <w:p>
            <w:pPr>
              <w:spacing w:after="0" w:line="159" w:lineRule="exact"/>
              <w:rPr>
                <w:sz w:val="20"/>
                <w:szCs w:val="20"/>
                <w:color w:val="auto"/>
              </w:rPr>
            </w:pPr>
            <w:r>
              <w:rPr>
                <w:rFonts w:ascii="Times New Roman" w:cs="Times New Roman" w:eastAsia="Times New Roman" w:hAnsi="Times New Roman"/>
                <w:sz w:val="14"/>
                <w:szCs w:val="14"/>
                <w:color w:val="0000FF"/>
                <w:w w:val="99"/>
              </w:rPr>
              <w:t>Consent of Deloitte &amp; Touche LLP, independent registered public accounting firm.</w:t>
            </w:r>
          </w:p>
        </w:tc>
        <w:tc>
          <w:tcPr>
            <w:tcW w:w="10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3"/>
                <w:szCs w:val="13"/>
                <w:color w:val="auto"/>
              </w:rPr>
            </w:pPr>
          </w:p>
        </w:tc>
        <w:tc>
          <w:tcPr>
            <w:tcW w:w="4760" w:type="dxa"/>
            <w:vAlign w:val="bottom"/>
            <w:gridSpan w:val="9"/>
          </w:tcPr>
          <w:p>
            <w:pPr>
              <w:spacing w:after="0" w:line="159" w:lineRule="exact"/>
              <w:rPr>
                <w:sz w:val="20"/>
                <w:szCs w:val="20"/>
                <w:color w:val="auto"/>
              </w:rPr>
            </w:pPr>
            <w:r>
              <w:rPr>
                <w:rFonts w:ascii="Times New Roman" w:cs="Times New Roman" w:eastAsia="Times New Roman" w:hAnsi="Times New Roman"/>
                <w:sz w:val="14"/>
                <w:szCs w:val="14"/>
                <w:color w:val="0000FF"/>
              </w:rPr>
              <w:t>Consent of Goodwin Procter LLP (included in Exhibit 5.1).</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3"/>
                <w:szCs w:val="13"/>
                <w:color w:val="auto"/>
              </w:rPr>
            </w:pPr>
          </w:p>
        </w:tc>
        <w:tc>
          <w:tcPr>
            <w:tcW w:w="3340" w:type="dxa"/>
            <w:vAlign w:val="bottom"/>
            <w:tcBorders>
              <w:top w:val="single" w:sz="8" w:color="0000FF"/>
            </w:tcBorders>
            <w:gridSpan w:val="5"/>
          </w:tcPr>
          <w:p>
            <w:pPr>
              <w:spacing w:after="0" w:line="159" w:lineRule="exact"/>
              <w:rPr>
                <w:sz w:val="20"/>
                <w:szCs w:val="20"/>
                <w:color w:val="auto"/>
              </w:rPr>
            </w:pPr>
            <w:r>
              <w:rPr>
                <w:rFonts w:ascii="Times New Roman" w:cs="Times New Roman" w:eastAsia="Times New Roman" w:hAnsi="Times New Roman"/>
                <w:sz w:val="14"/>
                <w:szCs w:val="14"/>
                <w:color w:val="0000FF"/>
              </w:rPr>
              <w:t>Power of Attorney (included on signature page)</w:t>
            </w:r>
          </w:p>
        </w:tc>
        <w:tc>
          <w:tcPr>
            <w:tcW w:w="142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3"/>
                <w:szCs w:val="13"/>
                <w:color w:val="auto"/>
              </w:rPr>
            </w:pPr>
          </w:p>
        </w:tc>
        <w:tc>
          <w:tcPr>
            <w:tcW w:w="2680" w:type="dxa"/>
            <w:vAlign w:val="bottom"/>
            <w:tcBorders>
              <w:top w:val="single" w:sz="8" w:color="0000FF"/>
            </w:tcBorders>
            <w:gridSpan w:val="3"/>
          </w:tcPr>
          <w:p>
            <w:pPr>
              <w:spacing w:after="0" w:line="159" w:lineRule="exact"/>
              <w:rPr>
                <w:sz w:val="20"/>
                <w:szCs w:val="20"/>
                <w:color w:val="auto"/>
              </w:rPr>
            </w:pPr>
            <w:r>
              <w:rPr>
                <w:rFonts w:ascii="Times New Roman" w:cs="Times New Roman" w:eastAsia="Times New Roman" w:hAnsi="Times New Roman"/>
                <w:sz w:val="14"/>
                <w:szCs w:val="14"/>
                <w:color w:val="0000FF"/>
              </w:rPr>
              <w:t>Filing Fee Table</w:t>
            </w:r>
          </w:p>
        </w:tc>
        <w:tc>
          <w:tcPr>
            <w:tcW w:w="2080" w:type="dxa"/>
            <w:vAlign w:val="bottom"/>
            <w:gridSpan w:val="6"/>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Filed herewith.</w:t>
      </w:r>
    </w:p>
    <w:p>
      <w:pPr>
        <w:spacing w:after="0"/>
        <w:rPr>
          <w:sz w:val="20"/>
          <w:szCs w:val="20"/>
          <w:color w:val="auto"/>
        </w:rPr>
      </w:pPr>
      <w:r>
        <w:rPr>
          <w:rFonts w:ascii="Times New Roman" w:cs="Times New Roman" w:eastAsia="Times New Roman" w:hAnsi="Times New Roman"/>
          <w:sz w:val="11"/>
          <w:szCs w:val="11"/>
          <w:color w:val="auto"/>
        </w:rPr>
        <w:t># Indicates management contract or compensatory plan, contract or agreement.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Certain schedules and exhibits to this agreement have been omitted pursuant to Item 601(a)(5) of Regulation S-K. A copy of any omitted schedule and/or exhibit will be furnished supplementally to the SEC upon request.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78"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4"/>
          <w:szCs w:val="14"/>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undersigned registrant hereby undertakes that:</w:t>
      </w:r>
    </w:p>
    <w:p>
      <w:pPr>
        <w:spacing w:after="0" w:line="176" w:lineRule="exact"/>
        <w:rPr>
          <w:sz w:val="20"/>
          <w:szCs w:val="20"/>
          <w:color w:val="auto"/>
        </w:rPr>
      </w:pPr>
    </w:p>
    <w:p>
      <w:pPr>
        <w:ind w:left="500" w:right="80" w:hanging="496"/>
        <w:spacing w:after="0" w:line="267" w:lineRule="auto"/>
        <w:tabs>
          <w:tab w:leader="none" w:pos="33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6" w:lineRule="exact"/>
        <w:rPr>
          <w:rFonts w:ascii="Times New Roman" w:cs="Times New Roman" w:eastAsia="Times New Roman" w:hAnsi="Times New Roman"/>
          <w:sz w:val="14"/>
          <w:szCs w:val="14"/>
          <w:color w:val="auto"/>
        </w:rPr>
      </w:pPr>
    </w:p>
    <w:p>
      <w:pPr>
        <w:ind w:left="500" w:hanging="496"/>
        <w:spacing w:after="0" w:line="283" w:lineRule="auto"/>
        <w:tabs>
          <w:tab w:leader="none" w:pos="32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1260"/>
          </w:cols>
          <w:pgMar w:left="300" w:top="1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8"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to be signed on its behalf by the undersigned, thereunto duly authorized, in Lehi, Utah on June 15, 2026.</w:t>
      </w:r>
    </w:p>
    <w:p>
      <w:pPr>
        <w:spacing w:after="0" w:line="15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b w:val="1"/>
          <w:bCs w:val="1"/>
          <w:color w:val="auto"/>
        </w:rPr>
        <w:t>PATTERN GROUP INC.</w:t>
      </w:r>
    </w:p>
    <w:p>
      <w:pPr>
        <w:spacing w:after="0" w:line="220" w:lineRule="exact"/>
        <w:rPr>
          <w:sz w:val="20"/>
          <w:szCs w:val="20"/>
          <w:color w:val="auto"/>
        </w:rPr>
      </w:pPr>
    </w:p>
    <w:tbl>
      <w:tblPr>
        <w:tblLayout w:type="fixed"/>
        <w:tblInd w:w="5780" w:type="dxa"/>
        <w:tblCellMar>
          <w:top w:w="0" w:type="dxa"/>
          <w:left w:w="0" w:type="dxa"/>
          <w:bottom w:w="0" w:type="dxa"/>
          <w:right w:w="0" w:type="dxa"/>
        </w:tblCellMar>
      </w:tblPr>
      <w:tr>
        <w:trPr>
          <w:trHeight w:val="18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 David Wright</w:t>
            </w:r>
          </w:p>
        </w:tc>
      </w:tr>
      <w:tr>
        <w:trPr>
          <w:trHeight w:val="165"/>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Wright</w:t>
            </w:r>
          </w:p>
        </w:tc>
      </w:tr>
      <w:tr>
        <w:trPr>
          <w:trHeight w:val="18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Each person whose signature appears below hereby constitutes and appoints David Wright, Melanie Alder, Jason Beesley and Ben Craven, and each of them, any of whom may act without joinder of the other, the individual’s true and lawful attorneys-in-fact and agents, with full power of substitution and resubstitution, for the person and in their name, place and stead, in any and all capacities, to sign this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 under the Securities Act of 1933, as amended,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might or could do in person, hereby ratifying and confirming all that said attorneys-in-fact as agents or any of them, or their substitute or substitutes, may lawfully do or cause to be done by virtue hereof.</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the dates indicated.</w:t>
      </w:r>
    </w:p>
    <w:p>
      <w:pPr>
        <w:spacing w:after="0" w:line="203" w:lineRule="exact"/>
        <w:rPr>
          <w:sz w:val="20"/>
          <w:szCs w:val="20"/>
          <w:color w:val="auto"/>
        </w:rPr>
      </w:pPr>
    </w:p>
    <w:p>
      <w:pPr>
        <w:ind w:left="1520"/>
        <w:spacing w:after="0"/>
        <w:tabs>
          <w:tab w:leader="none" w:pos="6080" w:val="left"/>
          <w:tab w:leader="none" w:pos="9960" w:val="left"/>
        </w:tabs>
        <w:rPr>
          <w:sz w:val="20"/>
          <w:szCs w:val="20"/>
          <w:color w:val="auto"/>
        </w:rPr>
      </w:pPr>
      <w:r>
        <w:rPr>
          <w:rFonts w:ascii="Times New Roman" w:cs="Times New Roman" w:eastAsia="Times New Roman" w:hAnsi="Times New Roman"/>
          <w:sz w:val="11"/>
          <w:szCs w:val="11"/>
          <w:b w:val="1"/>
          <w:bCs w:val="1"/>
          <w:color w:val="auto"/>
        </w:rPr>
        <w:t>Signature</w:t>
      </w:r>
      <w:r>
        <w:rPr>
          <w:sz w:val="20"/>
          <w:szCs w:val="20"/>
          <w:color w:val="auto"/>
        </w:rPr>
        <w:tab/>
      </w:r>
      <w:r>
        <w:rPr>
          <w:rFonts w:ascii="Times New Roman" w:cs="Times New Roman" w:eastAsia="Times New Roman" w:hAnsi="Times New Roman"/>
          <w:sz w:val="11"/>
          <w:szCs w:val="11"/>
          <w:b w:val="1"/>
          <w:bCs w:val="1"/>
          <w:color w:val="auto"/>
        </w:rPr>
        <w:t>Title</w:t>
      </w:r>
      <w:r>
        <w:rPr>
          <w:sz w:val="20"/>
          <w:szCs w:val="20"/>
          <w:color w:val="auto"/>
        </w:rPr>
        <w:tab/>
      </w:r>
      <w:r>
        <w:rPr>
          <w:rFonts w:ascii="Times New Roman" w:cs="Times New Roman" w:eastAsia="Times New Roman" w:hAnsi="Times New Roman"/>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716280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0">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David Wright</w:t>
            </w:r>
          </w:p>
        </w:tc>
        <w:tc>
          <w:tcPr>
            <w:tcW w:w="5120" w:type="dxa"/>
            <w:vAlign w:val="bottom"/>
            <w:vMerge w:val="restart"/>
          </w:tcPr>
          <w:p>
            <w:pPr>
              <w:jc w:val="center"/>
              <w:ind w:left="170"/>
              <w:spacing w:after="0"/>
              <w:rPr>
                <w:sz w:val="20"/>
                <w:szCs w:val="20"/>
                <w:color w:val="auto"/>
              </w:rPr>
            </w:pPr>
            <w:r>
              <w:rPr>
                <w:rFonts w:ascii="Times New Roman" w:cs="Times New Roman" w:eastAsia="Times New Roman" w:hAnsi="Times New Roman"/>
                <w:sz w:val="14"/>
                <w:szCs w:val="14"/>
                <w:color w:val="auto"/>
              </w:rPr>
              <w:t>Co-founder, Chief Executive Officer and Director</w:t>
            </w:r>
          </w:p>
        </w:tc>
        <w:tc>
          <w:tcPr>
            <w:tcW w:w="184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color w:val="auto"/>
                <w:w w:val="97"/>
              </w:rPr>
              <w:t>June 15, 2026</w:t>
            </w:r>
          </w:p>
        </w:tc>
        <w:tc>
          <w:tcPr>
            <w:tcW w:w="0" w:type="dxa"/>
            <w:vAlign w:val="bottom"/>
          </w:tcPr>
          <w:p>
            <w:pPr>
              <w:spacing w:after="0"/>
              <w:rPr>
                <w:sz w:val="1"/>
                <w:szCs w:val="1"/>
                <w:color w:val="auto"/>
              </w:rPr>
            </w:pPr>
          </w:p>
        </w:tc>
      </w:tr>
      <w:tr>
        <w:trPr>
          <w:trHeight w:val="33"/>
        </w:trPr>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David Wright</w:t>
            </w:r>
          </w:p>
        </w:tc>
        <w:tc>
          <w:tcPr>
            <w:tcW w:w="5120" w:type="dxa"/>
            <w:vAlign w:val="bottom"/>
            <w:vMerge w:val="continue"/>
          </w:tcPr>
          <w:p>
            <w:pPr>
              <w:spacing w:after="0"/>
              <w:rPr>
                <w:sz w:val="2"/>
                <w:szCs w:val="2"/>
                <w:color w:val="auto"/>
              </w:rPr>
            </w:pPr>
          </w:p>
        </w:tc>
        <w:tc>
          <w:tcPr>
            <w:tcW w:w="1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3520" w:type="dxa"/>
            <w:vAlign w:val="bottom"/>
            <w:vMerge w:val="continue"/>
          </w:tcPr>
          <w:p>
            <w:pPr>
              <w:spacing w:after="0"/>
              <w:rPr>
                <w:sz w:val="16"/>
                <w:szCs w:val="16"/>
                <w:color w:val="auto"/>
              </w:rPr>
            </w:pPr>
          </w:p>
        </w:tc>
        <w:tc>
          <w:tcPr>
            <w:tcW w:w="5120" w:type="dxa"/>
            <w:vAlign w:val="bottom"/>
          </w:tcPr>
          <w:p>
            <w:pPr>
              <w:jc w:val="center"/>
              <w:ind w:left="17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Melanie Alder</w:t>
            </w:r>
          </w:p>
        </w:tc>
        <w:tc>
          <w:tcPr>
            <w:tcW w:w="5120" w:type="dxa"/>
            <w:vAlign w:val="bottom"/>
            <w:vMerge w:val="restart"/>
          </w:tcPr>
          <w:p>
            <w:pPr>
              <w:jc w:val="center"/>
              <w:ind w:left="190"/>
              <w:spacing w:after="0"/>
              <w:rPr>
                <w:sz w:val="20"/>
                <w:szCs w:val="20"/>
                <w:color w:val="auto"/>
              </w:rPr>
            </w:pPr>
            <w:r>
              <w:rPr>
                <w:rFonts w:ascii="Times New Roman" w:cs="Times New Roman" w:eastAsia="Times New Roman" w:hAnsi="Times New Roman"/>
                <w:sz w:val="14"/>
                <w:szCs w:val="14"/>
                <w:color w:val="auto"/>
                <w:w w:val="99"/>
              </w:rPr>
              <w:t>Co-founder, Chief Strategy Officer and Director</w:t>
            </w:r>
          </w:p>
        </w:tc>
        <w:tc>
          <w:tcPr>
            <w:tcW w:w="184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color w:val="auto"/>
                <w:w w:val="97"/>
              </w:rPr>
              <w:t>June 15, 2026</w:t>
            </w:r>
          </w:p>
        </w:tc>
        <w:tc>
          <w:tcPr>
            <w:tcW w:w="0" w:type="dxa"/>
            <w:vAlign w:val="bottom"/>
          </w:tcPr>
          <w:p>
            <w:pPr>
              <w:spacing w:after="0"/>
              <w:rPr>
                <w:sz w:val="1"/>
                <w:szCs w:val="1"/>
                <w:color w:val="auto"/>
              </w:rPr>
            </w:pPr>
          </w:p>
        </w:tc>
      </w:tr>
      <w:tr>
        <w:trPr>
          <w:trHeight w:val="64"/>
        </w:trPr>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Melanie Alder</w:t>
            </w:r>
          </w:p>
        </w:tc>
        <w:tc>
          <w:tcPr>
            <w:tcW w:w="5120" w:type="dxa"/>
            <w:vAlign w:val="bottom"/>
            <w:vMerge w:val="continue"/>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3520" w:type="dxa"/>
            <w:vAlign w:val="bottom"/>
            <w:vMerge w:val="continue"/>
          </w:tcPr>
          <w:p>
            <w:pPr>
              <w:spacing w:after="0"/>
              <w:rPr>
                <w:sz w:val="9"/>
                <w:szCs w:val="9"/>
                <w:color w:val="auto"/>
              </w:rPr>
            </w:pPr>
          </w:p>
        </w:tc>
        <w:tc>
          <w:tcPr>
            <w:tcW w:w="5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6"/>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Jason Beesley</w:t>
            </w:r>
          </w:p>
        </w:tc>
        <w:tc>
          <w:tcPr>
            <w:tcW w:w="5120" w:type="dxa"/>
            <w:vAlign w:val="bottom"/>
            <w:vMerge w:val="restart"/>
          </w:tcPr>
          <w:p>
            <w:pPr>
              <w:jc w:val="center"/>
              <w:ind w:left="170"/>
              <w:spacing w:after="0"/>
              <w:rPr>
                <w:sz w:val="20"/>
                <w:szCs w:val="20"/>
                <w:color w:val="auto"/>
              </w:rPr>
            </w:pPr>
            <w:r>
              <w:rPr>
                <w:rFonts w:ascii="Times New Roman" w:cs="Times New Roman" w:eastAsia="Times New Roman" w:hAnsi="Times New Roman"/>
                <w:sz w:val="14"/>
                <w:szCs w:val="14"/>
                <w:color w:val="auto"/>
              </w:rPr>
              <w:t>Chief Financial Officer</w:t>
            </w:r>
          </w:p>
        </w:tc>
        <w:tc>
          <w:tcPr>
            <w:tcW w:w="184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color w:val="auto"/>
                <w:w w:val="97"/>
              </w:rPr>
              <w:t>June 15, 2026</w:t>
            </w:r>
          </w:p>
        </w:tc>
        <w:tc>
          <w:tcPr>
            <w:tcW w:w="0" w:type="dxa"/>
            <w:vAlign w:val="bottom"/>
          </w:tcPr>
          <w:p>
            <w:pPr>
              <w:spacing w:after="0"/>
              <w:rPr>
                <w:sz w:val="1"/>
                <w:szCs w:val="1"/>
                <w:color w:val="auto"/>
              </w:rPr>
            </w:pPr>
          </w:p>
        </w:tc>
      </w:tr>
      <w:tr>
        <w:trPr>
          <w:trHeight w:val="33"/>
        </w:trPr>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Jason Beesley</w:t>
            </w:r>
          </w:p>
        </w:tc>
        <w:tc>
          <w:tcPr>
            <w:tcW w:w="5120" w:type="dxa"/>
            <w:vAlign w:val="bottom"/>
            <w:vMerge w:val="continue"/>
          </w:tcPr>
          <w:p>
            <w:pPr>
              <w:spacing w:after="0"/>
              <w:rPr>
                <w:sz w:val="2"/>
                <w:szCs w:val="2"/>
                <w:color w:val="auto"/>
              </w:rPr>
            </w:pPr>
          </w:p>
        </w:tc>
        <w:tc>
          <w:tcPr>
            <w:tcW w:w="1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3520" w:type="dxa"/>
            <w:vAlign w:val="bottom"/>
            <w:vMerge w:val="continue"/>
          </w:tcPr>
          <w:p>
            <w:pPr>
              <w:spacing w:after="0"/>
              <w:rPr>
                <w:sz w:val="16"/>
                <w:szCs w:val="16"/>
                <w:color w:val="auto"/>
              </w:rPr>
            </w:pPr>
          </w:p>
        </w:tc>
        <w:tc>
          <w:tcPr>
            <w:tcW w:w="5120" w:type="dxa"/>
            <w:vAlign w:val="bottom"/>
          </w:tcPr>
          <w:p>
            <w:pPr>
              <w:jc w:val="center"/>
              <w:ind w:left="17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John Bailey</w:t>
            </w:r>
          </w:p>
        </w:tc>
        <w:tc>
          <w:tcPr>
            <w:tcW w:w="5120" w:type="dxa"/>
            <w:vAlign w:val="bottom"/>
            <w:vMerge w:val="restart"/>
          </w:tcPr>
          <w:p>
            <w:pPr>
              <w:jc w:val="center"/>
              <w:ind w:left="170"/>
              <w:spacing w:after="0"/>
              <w:rPr>
                <w:sz w:val="20"/>
                <w:szCs w:val="20"/>
                <w:color w:val="auto"/>
              </w:rPr>
            </w:pPr>
            <w:r>
              <w:rPr>
                <w:rFonts w:ascii="Times New Roman" w:cs="Times New Roman" w:eastAsia="Times New Roman" w:hAnsi="Times New Roman"/>
                <w:sz w:val="14"/>
                <w:szCs w:val="14"/>
                <w:color w:val="auto"/>
              </w:rPr>
              <w:t>Director</w:t>
            </w:r>
          </w:p>
        </w:tc>
        <w:tc>
          <w:tcPr>
            <w:tcW w:w="184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color w:val="auto"/>
                <w:w w:val="97"/>
              </w:rPr>
              <w:t>June 15, 2026</w:t>
            </w:r>
          </w:p>
        </w:tc>
        <w:tc>
          <w:tcPr>
            <w:tcW w:w="0" w:type="dxa"/>
            <w:vAlign w:val="bottom"/>
          </w:tcPr>
          <w:p>
            <w:pPr>
              <w:spacing w:after="0"/>
              <w:rPr>
                <w:sz w:val="1"/>
                <w:szCs w:val="1"/>
                <w:color w:val="auto"/>
              </w:rPr>
            </w:pPr>
          </w:p>
        </w:tc>
      </w:tr>
      <w:tr>
        <w:trPr>
          <w:trHeight w:val="64"/>
        </w:trPr>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John Bailey</w:t>
            </w:r>
          </w:p>
        </w:tc>
        <w:tc>
          <w:tcPr>
            <w:tcW w:w="5120" w:type="dxa"/>
            <w:vAlign w:val="bottom"/>
            <w:vMerge w:val="continue"/>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3520" w:type="dxa"/>
            <w:vAlign w:val="bottom"/>
            <w:vMerge w:val="continue"/>
          </w:tcPr>
          <w:p>
            <w:pPr>
              <w:spacing w:after="0"/>
              <w:rPr>
                <w:sz w:val="9"/>
                <w:szCs w:val="9"/>
                <w:color w:val="auto"/>
              </w:rPr>
            </w:pPr>
          </w:p>
        </w:tc>
        <w:tc>
          <w:tcPr>
            <w:tcW w:w="5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6"/>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Scott Hilton</w:t>
            </w:r>
          </w:p>
        </w:tc>
        <w:tc>
          <w:tcPr>
            <w:tcW w:w="5120" w:type="dxa"/>
            <w:vAlign w:val="bottom"/>
            <w:vMerge w:val="restart"/>
          </w:tcPr>
          <w:p>
            <w:pPr>
              <w:jc w:val="center"/>
              <w:ind w:left="170"/>
              <w:spacing w:after="0"/>
              <w:rPr>
                <w:sz w:val="20"/>
                <w:szCs w:val="20"/>
                <w:color w:val="auto"/>
              </w:rPr>
            </w:pPr>
            <w:r>
              <w:rPr>
                <w:rFonts w:ascii="Times New Roman" w:cs="Times New Roman" w:eastAsia="Times New Roman" w:hAnsi="Times New Roman"/>
                <w:sz w:val="14"/>
                <w:szCs w:val="14"/>
                <w:color w:val="auto"/>
              </w:rPr>
              <w:t>Director</w:t>
            </w:r>
          </w:p>
        </w:tc>
        <w:tc>
          <w:tcPr>
            <w:tcW w:w="184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color w:val="auto"/>
                <w:w w:val="97"/>
              </w:rPr>
              <w:t>June 15, 2026</w:t>
            </w:r>
          </w:p>
        </w:tc>
        <w:tc>
          <w:tcPr>
            <w:tcW w:w="0" w:type="dxa"/>
            <w:vAlign w:val="bottom"/>
          </w:tcPr>
          <w:p>
            <w:pPr>
              <w:spacing w:after="0"/>
              <w:rPr>
                <w:sz w:val="1"/>
                <w:szCs w:val="1"/>
                <w:color w:val="auto"/>
              </w:rPr>
            </w:pPr>
          </w:p>
        </w:tc>
      </w:tr>
      <w:tr>
        <w:trPr>
          <w:trHeight w:val="64"/>
        </w:trPr>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Scott Hilton</w:t>
            </w:r>
          </w:p>
        </w:tc>
        <w:tc>
          <w:tcPr>
            <w:tcW w:w="5120" w:type="dxa"/>
            <w:vAlign w:val="bottom"/>
            <w:vMerge w:val="continue"/>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3520" w:type="dxa"/>
            <w:vAlign w:val="bottom"/>
            <w:vMerge w:val="continue"/>
          </w:tcPr>
          <w:p>
            <w:pPr>
              <w:spacing w:after="0"/>
              <w:rPr>
                <w:sz w:val="9"/>
                <w:szCs w:val="9"/>
                <w:color w:val="auto"/>
              </w:rPr>
            </w:pPr>
          </w:p>
        </w:tc>
        <w:tc>
          <w:tcPr>
            <w:tcW w:w="5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6"/>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Ann Mather</w:t>
            </w:r>
          </w:p>
        </w:tc>
        <w:tc>
          <w:tcPr>
            <w:tcW w:w="5120" w:type="dxa"/>
            <w:vAlign w:val="bottom"/>
            <w:vMerge w:val="restart"/>
          </w:tcPr>
          <w:p>
            <w:pPr>
              <w:jc w:val="center"/>
              <w:ind w:left="170"/>
              <w:spacing w:after="0"/>
              <w:rPr>
                <w:sz w:val="20"/>
                <w:szCs w:val="20"/>
                <w:color w:val="auto"/>
              </w:rPr>
            </w:pPr>
            <w:r>
              <w:rPr>
                <w:rFonts w:ascii="Times New Roman" w:cs="Times New Roman" w:eastAsia="Times New Roman" w:hAnsi="Times New Roman"/>
                <w:sz w:val="14"/>
                <w:szCs w:val="14"/>
                <w:color w:val="auto"/>
              </w:rPr>
              <w:t>Director</w:t>
            </w:r>
          </w:p>
        </w:tc>
        <w:tc>
          <w:tcPr>
            <w:tcW w:w="184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color w:val="auto"/>
                <w:w w:val="97"/>
              </w:rPr>
              <w:t>June 15, 2026</w:t>
            </w:r>
          </w:p>
        </w:tc>
        <w:tc>
          <w:tcPr>
            <w:tcW w:w="0" w:type="dxa"/>
            <w:vAlign w:val="bottom"/>
          </w:tcPr>
          <w:p>
            <w:pPr>
              <w:spacing w:after="0"/>
              <w:rPr>
                <w:sz w:val="1"/>
                <w:szCs w:val="1"/>
                <w:color w:val="auto"/>
              </w:rPr>
            </w:pPr>
          </w:p>
        </w:tc>
      </w:tr>
      <w:tr>
        <w:trPr>
          <w:trHeight w:val="64"/>
        </w:trPr>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Ann Mather</w:t>
            </w:r>
          </w:p>
        </w:tc>
        <w:tc>
          <w:tcPr>
            <w:tcW w:w="5120" w:type="dxa"/>
            <w:vAlign w:val="bottom"/>
            <w:vMerge w:val="continue"/>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3520" w:type="dxa"/>
            <w:vAlign w:val="bottom"/>
            <w:vMerge w:val="continue"/>
          </w:tcPr>
          <w:p>
            <w:pPr>
              <w:spacing w:after="0"/>
              <w:rPr>
                <w:sz w:val="9"/>
                <w:szCs w:val="9"/>
                <w:color w:val="auto"/>
              </w:rPr>
            </w:pPr>
          </w:p>
        </w:tc>
        <w:tc>
          <w:tcPr>
            <w:tcW w:w="5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Susan Taylor</w:t>
            </w:r>
          </w:p>
        </w:tc>
        <w:tc>
          <w:tcPr>
            <w:tcW w:w="5120" w:type="dxa"/>
            <w:vAlign w:val="bottom"/>
            <w:vMerge w:val="restart"/>
          </w:tcPr>
          <w:p>
            <w:pPr>
              <w:jc w:val="center"/>
              <w:ind w:left="170"/>
              <w:spacing w:after="0"/>
              <w:rPr>
                <w:sz w:val="20"/>
                <w:szCs w:val="20"/>
                <w:color w:val="auto"/>
              </w:rPr>
            </w:pPr>
            <w:r>
              <w:rPr>
                <w:rFonts w:ascii="Times New Roman" w:cs="Times New Roman" w:eastAsia="Times New Roman" w:hAnsi="Times New Roman"/>
                <w:sz w:val="14"/>
                <w:szCs w:val="14"/>
                <w:color w:val="auto"/>
              </w:rPr>
              <w:t>Director</w:t>
            </w:r>
          </w:p>
        </w:tc>
        <w:tc>
          <w:tcPr>
            <w:tcW w:w="184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color w:val="auto"/>
                <w:w w:val="97"/>
              </w:rPr>
              <w:t>June 15, 2026</w:t>
            </w:r>
          </w:p>
        </w:tc>
        <w:tc>
          <w:tcPr>
            <w:tcW w:w="0" w:type="dxa"/>
            <w:vAlign w:val="bottom"/>
          </w:tcPr>
          <w:p>
            <w:pPr>
              <w:spacing w:after="0"/>
              <w:rPr>
                <w:sz w:val="1"/>
                <w:szCs w:val="1"/>
                <w:color w:val="auto"/>
              </w:rPr>
            </w:pPr>
          </w:p>
        </w:tc>
      </w:tr>
      <w:tr>
        <w:trPr>
          <w:trHeight w:val="64"/>
        </w:trPr>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Susan Taylor</w:t>
            </w:r>
          </w:p>
        </w:tc>
        <w:tc>
          <w:tcPr>
            <w:tcW w:w="5120" w:type="dxa"/>
            <w:vAlign w:val="bottom"/>
            <w:vMerge w:val="continue"/>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3520" w:type="dxa"/>
            <w:vAlign w:val="bottom"/>
            <w:vMerge w:val="continue"/>
          </w:tcPr>
          <w:p>
            <w:pPr>
              <w:spacing w:after="0"/>
              <w:rPr>
                <w:sz w:val="9"/>
                <w:szCs w:val="9"/>
                <w:color w:val="auto"/>
              </w:rPr>
            </w:pPr>
          </w:p>
        </w:tc>
        <w:tc>
          <w:tcPr>
            <w:tcW w:w="5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1280"/>
          </w:cols>
          <w:pgMar w:left="300" w:top="125" w:right="319" w:bottom="1440" w:gutter="0" w:footer="0" w:header="0"/>
        </w:sectPr>
      </w:pPr>
    </w:p>
    <w:bookmarkStart w:id="37" w:name="page38"/>
    <w:bookmarkEnd w:id="37"/>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Pattern Group Inc.</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Series A</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16"/>
                <w:szCs w:val="16"/>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9,200,000</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$ 25,048.30</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8"/>
              </w:rPr>
              <w:t>181,378,000.00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$ 25,048.30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w w:val="99"/>
              </w:rPr>
              <w:t>181,378,000.00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$ 25,048.30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220" w:right="180"/>
        <w:spacing w:after="0"/>
        <w:rPr>
          <w:sz w:val="20"/>
          <w:szCs w:val="20"/>
          <w:color w:val="auto"/>
        </w:rPr>
      </w:pPr>
      <w:r>
        <w:rPr>
          <w:rFonts w:ascii="Arial" w:cs="Arial" w:eastAsia="Arial" w:hAnsi="Arial"/>
          <w:sz w:val="17"/>
          <w:szCs w:val="17"/>
          <w:color w:val="auto"/>
        </w:rPr>
        <w:t>Includes offering price of additional shares of Series A common stock that the underwriters have the option to purchase. Estimated solely for the purpose of calculating the registration fee in accordance with Rule 457(c) under the Securities Act of 1933, as amended. The maximum price per share and maximum aggregate offering price are based on the average of the $19.99 (high) and $19.44 (low) sale price of the registrant's shares of Series A common stock as reported on The Nasdaq Global Select Market on June 8, 2026, which date is within five business days prior to filing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4819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1">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Registrant or Filer</w:t>
            </w:r>
          </w:p>
        </w:tc>
        <w:tc>
          <w:tcPr>
            <w:tcW w:w="4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2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240" w:type="dxa"/>
            <w:vAlign w:val="bottom"/>
            <w:shd w:val="clear" w:color="auto" w:fill="9ADAF6"/>
          </w:tcPr>
          <w:p>
            <w:pPr>
              <w:jc w:val="center"/>
              <w:ind w:right="216"/>
              <w:spacing w:after="0" w:line="168" w:lineRule="exact"/>
              <w:rPr>
                <w:sz w:val="20"/>
                <w:szCs w:val="20"/>
                <w:color w:val="auto"/>
              </w:rPr>
            </w:pPr>
            <w:r>
              <w:rPr>
                <w:rFonts w:ascii="Arial" w:cs="Arial" w:eastAsia="Arial" w:hAnsi="Arial"/>
                <w:sz w:val="17"/>
                <w:szCs w:val="17"/>
                <w:b w:val="1"/>
                <w:bCs w:val="1"/>
                <w:color w:val="auto"/>
                <w:w w:val="99"/>
              </w:rPr>
              <w:t>Name</w:t>
            </w:r>
          </w:p>
        </w:tc>
        <w:tc>
          <w:tcPr>
            <w:tcW w:w="4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20" w:type="dxa"/>
            <w:vAlign w:val="bottom"/>
            <w:gridSpan w:val="3"/>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8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36"/>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4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4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3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60" w:type="dxa"/>
            <w:vAlign w:val="bottom"/>
            <w:shd w:val="clear" w:color="auto" w:fill="9ADAF6"/>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3"/>
          </w:tcPr>
          <w:p>
            <w:pPr>
              <w:ind w:left="58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1860" w:type="dxa"/>
            <w:vAlign w:val="bottom"/>
            <w:gridSpan w:val="5"/>
            <w:shd w:val="clear" w:color="auto" w:fill="9ADAF6"/>
          </w:tcPr>
          <w:p>
            <w:pPr>
              <w:jc w:val="center"/>
              <w:ind w:right="76"/>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56"/>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1860" w:type="dxa"/>
            <w:vAlign w:val="bottom"/>
            <w:gridSpan w:val="5"/>
            <w:vMerge w:val="restart"/>
            <w:shd w:val="clear" w:color="auto" w:fill="9ADAF6"/>
          </w:tcPr>
          <w:p>
            <w:pPr>
              <w:jc w:val="center"/>
              <w:ind w:right="76"/>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18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6"/>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300" w:top="142" w:right="239" w:bottom="651"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4"/>
          <w:szCs w:val="14"/>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Pattern Group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Series A Common Stock</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u w:val="single" w:color="auto"/>
          <w:color w:val="auto"/>
        </w:rPr>
        <w:t>Underwriting Agreement</w:t>
      </w:r>
    </w:p>
    <w:p>
      <w:pPr>
        <w:spacing w:after="0" w:line="175" w:lineRule="exact"/>
        <w:rPr>
          <w:sz w:val="20"/>
          <w:szCs w:val="20"/>
          <w:color w:val="auto"/>
        </w:rPr>
      </w:pPr>
    </w:p>
    <w:p>
      <w:pPr>
        <w:ind w:left="10560"/>
        <w:spacing w:after="0"/>
        <w:rPr>
          <w:sz w:val="20"/>
          <w:szCs w:val="20"/>
          <w:color w:val="auto"/>
        </w:rPr>
      </w:pPr>
      <w:r>
        <w:rPr>
          <w:rFonts w:ascii="Arial" w:cs="Arial" w:eastAsia="Arial" w:hAnsi="Arial"/>
          <w:sz w:val="15"/>
          <w:szCs w:val="15"/>
          <w:color w:val="auto"/>
        </w:rPr>
        <w:t xml:space="preserve">[ </w:t>
      </w:r>
      <w:r>
        <w:rPr>
          <w:rFonts w:ascii="Wingdings" w:cs="Wingdings" w:eastAsia="Wingdings" w:hAnsi="Wingdings"/>
          <w:sz w:val="15"/>
          <w:szCs w:val="15"/>
          <w:b w:val="1"/>
          <w:bCs w:val="1"/>
          <w:color w:val="auto"/>
        </w:rPr>
        <w:t>l</w:t>
      </w:r>
      <w:r>
        <w:rPr>
          <w:rFonts w:ascii="Arial" w:cs="Arial" w:eastAsia="Arial" w:hAnsi="Arial"/>
          <w:sz w:val="15"/>
          <w:szCs w:val="15"/>
          <w:color w:val="auto"/>
        </w:rPr>
        <w:t xml:space="preserve"> ], 2026</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J.P. Morgan Securities LLC</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Goldman Sachs &amp; Co. LLC</w:t>
      </w:r>
    </w:p>
    <w:p>
      <w:pPr>
        <w:spacing w:after="0" w:line="32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As representatives (the “Representatives”) of the several Underwriters named in Schedule I hereto</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c/o J.P. Morgan Securities LLC</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270 Park Avenue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10017</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c/o Goldman Sachs &amp; Co. LLC</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200 West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10282-2198</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85" w:lineRule="exact"/>
        <w:rPr>
          <w:sz w:val="20"/>
          <w:szCs w:val="20"/>
          <w:color w:val="auto"/>
        </w:rPr>
      </w:pPr>
    </w:p>
    <w:p>
      <w:pPr>
        <w:jc w:val="both"/>
        <w:ind w:firstLine="505"/>
        <w:spacing w:after="0" w:line="266" w:lineRule="auto"/>
        <w:rPr>
          <w:sz w:val="20"/>
          <w:szCs w:val="20"/>
          <w:color w:val="auto"/>
        </w:rPr>
      </w:pPr>
      <w:r>
        <w:rPr>
          <w:rFonts w:ascii="Arial" w:cs="Arial" w:eastAsia="Arial" w:hAnsi="Arial"/>
          <w:sz w:val="15"/>
          <w:szCs w:val="15"/>
          <w:color w:val="auto"/>
        </w:rPr>
        <w:t>The stockholder named in Schedule II hereto (the "Selling Stockholder") of Pattern Group Inc., a Delaware corporation (the “Company”), proposes, subject to the terms and conditions stated in this agreement (this “Agreement”), to sell to the Underwriters named in Schedule I hereto (the “Underwriters”) an aggregate of 8,000,000 shares (the “Firm Shares”) and, at the election of the Underwriters, up to 1,200,000 additional shares (the “Optional Shares”) of Series A Common Stock, par value $0.001 per share (“Stock”) of the Company. The Firm Shares and the Optional Shares that the Underwriters elect to purchase pursuant to Section 2 hereof are herein collectively called the "Shares".</w:t>
      </w:r>
    </w:p>
    <w:p>
      <w:pPr>
        <w:spacing w:after="0" w:line="138" w:lineRule="exact"/>
        <w:rPr>
          <w:sz w:val="20"/>
          <w:szCs w:val="20"/>
          <w:color w:val="auto"/>
        </w:rPr>
      </w:pPr>
    </w:p>
    <w:p>
      <w:pPr>
        <w:ind w:left="800" w:hanging="291"/>
        <w:spacing w:after="0"/>
        <w:tabs>
          <w:tab w:leader="none" w:pos="8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The Company represents and warrants to, and agrees with, each of the Underwriters that:</w:t>
      </w:r>
    </w:p>
    <w:p>
      <w:pPr>
        <w:spacing w:after="0" w:line="174" w:lineRule="exact"/>
        <w:rPr>
          <w:rFonts w:ascii="Arial" w:cs="Arial" w:eastAsia="Arial" w:hAnsi="Arial"/>
          <w:sz w:val="15"/>
          <w:szCs w:val="15"/>
          <w:color w:val="auto"/>
        </w:rPr>
      </w:pPr>
    </w:p>
    <w:p>
      <w:pPr>
        <w:jc w:val="both"/>
        <w:ind w:left="500" w:firstLine="514"/>
        <w:spacing w:after="0" w:line="265" w:lineRule="auto"/>
        <w:tabs>
          <w:tab w:leader="none" w:pos="1360" w:val="left"/>
        </w:tabs>
        <w:numPr>
          <w:ilvl w:val="1"/>
          <w:numId w:val="22"/>
        </w:numPr>
        <w:rPr>
          <w:rFonts w:ascii="Arial" w:cs="Arial" w:eastAsia="Arial" w:hAnsi="Arial"/>
          <w:sz w:val="15"/>
          <w:szCs w:val="15"/>
          <w:color w:val="auto"/>
        </w:rPr>
      </w:pPr>
      <w:r>
        <w:rPr>
          <w:rFonts w:ascii="Arial" w:cs="Arial" w:eastAsia="Arial" w:hAnsi="Arial"/>
          <w:sz w:val="15"/>
          <w:szCs w:val="15"/>
          <w:color w:val="auto"/>
        </w:rPr>
        <w:t xml:space="preserve">A registration statement on Form S-1 (File No. 333-[ </w:t>
      </w:r>
      <w:r>
        <w:rPr>
          <w:rFonts w:ascii="Wingdings" w:cs="Wingdings" w:eastAsia="Wingdings" w:hAnsi="Wingdings"/>
          <w:sz w:val="15"/>
          <w:szCs w:val="15"/>
          <w:b w:val="1"/>
          <w:bCs w:val="1"/>
          <w:color w:val="auto"/>
        </w:rPr>
        <w:t>l</w:t>
      </w:r>
      <w:r>
        <w:rPr>
          <w:rFonts w:ascii="Arial" w:cs="Arial" w:eastAsia="Arial" w:hAnsi="Arial"/>
          <w:sz w:val="15"/>
          <w:szCs w:val="15"/>
          <w:color w:val="auto"/>
        </w:rPr>
        <w:t xml:space="preserve"> ]) (the “Initial Registration Statement”) in respect of the Shares has been filed with the Securities and Exchange Commission (the “Commission”); the Initial Registration Statement and any post-effective amendment thereto, each in the form heretofore delivered to the Representatives,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w:t>
      </w:r>
    </w:p>
    <w:p>
      <w:pPr>
        <w:sectPr>
          <w:pgSz w:w="11900" w:h="16838" w:orient="portrait"/>
          <w:cols w:equalWidth="0" w:num="1">
            <w:col w:w="11280"/>
          </w:cols>
          <w:pgMar w:left="300" w:top="123" w:right="319" w:bottom="1440" w:gutter="0" w:footer="0" w:header="0"/>
        </w:sectPr>
      </w:pPr>
    </w:p>
    <w:bookmarkStart w:id="39" w:name="page40"/>
    <w:bookmarkEnd w:id="39"/>
    <w:p>
      <w:pPr>
        <w:jc w:val="both"/>
        <w:spacing w:after="0" w:line="260" w:lineRule="auto"/>
        <w:rPr>
          <w:sz w:val="20"/>
          <w:szCs w:val="20"/>
          <w:color w:val="auto"/>
        </w:rPr>
      </w:pPr>
      <w:r>
        <w:rPr>
          <w:rFonts w:ascii="Arial" w:cs="Arial" w:eastAsia="Arial" w:hAnsi="Arial"/>
          <w:sz w:val="15"/>
          <w:szCs w:val="15"/>
          <w:color w:val="auto"/>
        </w:rPr>
        <w:t>issued and no proceeding for that purpose or pursuant to Section 8A of the Act has been initiated or, to the Company’s knowledge,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1(a)(iii) hereof) is hereinafter called the “Pricing Prospectus”; and such final prospectus, in the form first filed pursuant to Rule 424(b) under the Act, is hereinafter called the “Prospectus”; any reference herein to any Preliminary Prospectus, the Pricing Prospectus or the Prospectus shall be deemed to refer to and include the documents incorporated by reference therein pursuant to Item 12 of Form S–1 under the Act, as of the date of such prospectus; any oral or written communication with potential investors undertaken in reliance on Rule 163B under the Act is hereinafter called a “Testing-the-Waters Communication”;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330" w:lineRule="exact"/>
        <w:rPr>
          <w:sz w:val="20"/>
          <w:szCs w:val="20"/>
          <w:color w:val="auto"/>
        </w:rPr>
      </w:pPr>
    </w:p>
    <w:p>
      <w:pPr>
        <w:jc w:val="both"/>
        <w:ind w:firstLine="514"/>
        <w:spacing w:after="0" w:line="265" w:lineRule="auto"/>
        <w:tabs>
          <w:tab w:leader="none" w:pos="909" w:val="left"/>
        </w:tabs>
        <w:numPr>
          <w:ilvl w:val="0"/>
          <w:numId w:val="23"/>
        </w:numPr>
        <w:rPr>
          <w:rFonts w:ascii="Arial" w:cs="Arial" w:eastAsia="Arial" w:hAnsi="Arial"/>
          <w:sz w:val="15"/>
          <w:szCs w:val="15"/>
          <w:color w:val="auto"/>
        </w:rPr>
      </w:pPr>
      <w:r>
        <w:rPr>
          <w:rFonts w:ascii="Arial" w:cs="Arial" w:eastAsia="Arial" w:hAnsi="Arial"/>
          <w:sz w:val="15"/>
          <w:szCs w:val="15"/>
          <w:color w:val="auto"/>
        </w:rPr>
        <w:t xml:space="preserve">(A)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representation and warranty shall not apply to any statements or omissions made in reliance upon and in conformity with the Underwriter Information (as defined in Section 9(a) of this Agreement);</w:t>
      </w:r>
    </w:p>
    <w:p>
      <w:pPr>
        <w:spacing w:after="0" w:line="130" w:lineRule="exact"/>
        <w:rPr>
          <w:rFonts w:ascii="Arial" w:cs="Arial" w:eastAsia="Arial" w:hAnsi="Arial"/>
          <w:sz w:val="15"/>
          <w:szCs w:val="15"/>
          <w:color w:val="auto"/>
        </w:rPr>
      </w:pPr>
    </w:p>
    <w:p>
      <w:pPr>
        <w:jc w:val="both"/>
        <w:ind w:firstLine="514"/>
        <w:spacing w:after="0" w:line="265" w:lineRule="auto"/>
        <w:tabs>
          <w:tab w:leader="none" w:pos="941" w:val="left"/>
        </w:tabs>
        <w:numPr>
          <w:ilvl w:val="0"/>
          <w:numId w:val="23"/>
        </w:numPr>
        <w:rPr>
          <w:rFonts w:ascii="Arial" w:cs="Arial" w:eastAsia="Arial" w:hAnsi="Arial"/>
          <w:sz w:val="15"/>
          <w:szCs w:val="15"/>
          <w:color w:val="auto"/>
        </w:rPr>
      </w:pPr>
      <w:r>
        <w:rPr>
          <w:rFonts w:ascii="Arial" w:cs="Arial" w:eastAsia="Arial" w:hAnsi="Arial"/>
          <w:sz w:val="15"/>
          <w:szCs w:val="15"/>
          <w:color w:val="auto"/>
        </w:rPr>
        <w:t xml:space="preserve">For the purposes of this Agreement, the “Applicable Time” is [ </w:t>
      </w:r>
      <w:r>
        <w:rPr>
          <w:rFonts w:ascii="Wingdings" w:cs="Wingdings" w:eastAsia="Wingdings" w:hAnsi="Wingdings"/>
          <w:sz w:val="15"/>
          <w:szCs w:val="15"/>
          <w:b w:val="1"/>
          <w:bCs w:val="1"/>
          <w:color w:val="auto"/>
        </w:rPr>
        <w:t>l</w:t>
      </w:r>
      <w:r>
        <w:rPr>
          <w:rFonts w:ascii="Arial" w:cs="Arial" w:eastAsia="Arial" w:hAnsi="Arial"/>
          <w:sz w:val="15"/>
          <w:szCs w:val="15"/>
          <w:color w:val="auto"/>
        </w:rPr>
        <w:t xml:space="preserve"> ] [am][pm] (New York City time) on the date of this Agreement. The Pricing Prospectus, as supplemented by the information listed on Schedule III(c)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w:t>
      </w:r>
    </w:p>
    <w:p>
      <w:pPr>
        <w:sectPr>
          <w:pgSz w:w="11900" w:h="16838" w:orient="portrait"/>
          <w:cols w:equalWidth="0" w:num="1">
            <w:col w:w="10780"/>
          </w:cols>
          <w:pgMar w:left="800" w:top="1133" w:right="319" w:bottom="1440" w:gutter="0" w:footer="0" w:header="0"/>
        </w:sectPr>
      </w:pPr>
    </w:p>
    <w:bookmarkStart w:id="40" w:name="page41"/>
    <w:bookmarkEnd w:id="40"/>
    <w:p>
      <w:pPr>
        <w:jc w:val="both"/>
        <w:spacing w:after="0" w:line="266" w:lineRule="auto"/>
        <w:rPr>
          <w:sz w:val="20"/>
          <w:szCs w:val="20"/>
          <w:color w:val="auto"/>
        </w:rPr>
      </w:pPr>
      <w:r>
        <w:rPr>
          <w:rFonts w:ascii="Arial" w:cs="Arial" w:eastAsia="Arial" w:hAnsi="Arial"/>
          <w:sz w:val="15"/>
          <w:szCs w:val="15"/>
          <w:color w:val="auto"/>
        </w:rPr>
        <w:t>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138" w:lineRule="exact"/>
        <w:rPr>
          <w:sz w:val="20"/>
          <w:szCs w:val="20"/>
          <w:color w:val="auto"/>
        </w:rPr>
      </w:pPr>
    </w:p>
    <w:p>
      <w:pPr>
        <w:jc w:val="both"/>
        <w:ind w:firstLine="514"/>
        <w:spacing w:after="0" w:line="265" w:lineRule="auto"/>
        <w:tabs>
          <w:tab w:leader="none" w:pos="91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documents incorporated by reference in the Pricing Prospectus and the Prospectus, when they were filed with the Commission, conformed in all material respects to the requirements of the Securities Exchange Act of 1934, as amended (the “Exchange Act”) and the rules and regulations of the Commission thereunder, and none of such documents contained an untrue statement of a material fact or omitted to state a material fact required to be stated therein or necessary to make the statements therein, in the light of the circumstances under which they were made, not misleading; and no such or any other documents were filed with the Commission since the Commission's close of business on the business day immediately prior to the date of this Agreement and prior to the execution of this Agreement, except as set forth on Schedule III(b) hereto.</w:t>
      </w:r>
    </w:p>
    <w:p>
      <w:pPr>
        <w:spacing w:after="0" w:line="140" w:lineRule="exact"/>
        <w:rPr>
          <w:rFonts w:ascii="Arial" w:cs="Arial" w:eastAsia="Arial" w:hAnsi="Arial"/>
          <w:sz w:val="15"/>
          <w:szCs w:val="15"/>
          <w:color w:val="auto"/>
        </w:rPr>
      </w:pPr>
    </w:p>
    <w:p>
      <w:pPr>
        <w:jc w:val="both"/>
        <w:ind w:firstLine="514"/>
        <w:spacing w:after="0" w:line="262" w:lineRule="auto"/>
        <w:tabs>
          <w:tab w:leader="none" w:pos="898"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(in the case of the Prospectus and any amendment or supplement thereto, in light of the circumstances under which they were made) not misleading; provided, however, that this representation and warranty shall not apply to any statements or omissions made in reliance upon and in conformity with the Underwriter Information;</w:t>
      </w:r>
    </w:p>
    <w:p>
      <w:pPr>
        <w:spacing w:after="0" w:line="144" w:lineRule="exact"/>
        <w:rPr>
          <w:rFonts w:ascii="Arial" w:cs="Arial" w:eastAsia="Arial" w:hAnsi="Arial"/>
          <w:sz w:val="15"/>
          <w:szCs w:val="15"/>
          <w:color w:val="auto"/>
        </w:rPr>
      </w:pPr>
    </w:p>
    <w:p>
      <w:pPr>
        <w:jc w:val="both"/>
        <w:ind w:firstLine="514"/>
        <w:spacing w:after="0" w:line="261" w:lineRule="auto"/>
        <w:tabs>
          <w:tab w:leader="none" w:pos="987" w:val="left"/>
        </w:tabs>
        <w:numPr>
          <w:ilvl w:val="0"/>
          <w:numId w:val="24"/>
        </w:numPr>
        <w:rPr>
          <w:rFonts w:ascii="Arial" w:cs="Arial" w:eastAsia="Arial" w:hAnsi="Arial"/>
          <w:sz w:val="15"/>
          <w:szCs w:val="15"/>
          <w:color w:val="auto"/>
        </w:rPr>
      </w:pPr>
      <w:r>
        <w:rPr>
          <w:rFonts w:ascii="Arial" w:cs="Arial" w:eastAsia="Arial" w:hAnsi="Arial"/>
          <w:sz w:val="15"/>
          <w:szCs w:val="15"/>
          <w:color w:val="auto"/>
        </w:rPr>
        <w:t>Neither the Company nor any of its subsidiaries has, since the date of the latest audited financial statements included or incorporated by reference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would be required to be filed as an exhibit to the Registration Statement pursuant to Item 601 of Regulation S-K of the Act or incurred any liability or obligation, direct or contingent, that is material to the Company and its subsidiaries taken as a whole, in each case other than as set forth or contemplated in the Pricing Prospectus; and, since the respective dates as of which information is given in the Registration Statement and the Pricing Prospectus, there has not been (x) any change in the capital stock (other than as a result of (A) the exercise, vesting or settlement, if any, of stock options or restricted stock units (including any “net” or “cashless” exercises or settlements) or the award, if any, of stock options or restricted stock units, in each case in the ordinary course of business</w:t>
      </w:r>
    </w:p>
    <w:p>
      <w:pPr>
        <w:sectPr>
          <w:pgSz w:w="11900" w:h="16838" w:orient="portrait"/>
          <w:cols w:equalWidth="0" w:num="1">
            <w:col w:w="10780"/>
          </w:cols>
          <w:pgMar w:left="800" w:top="1133" w:right="31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5"/>
          <w:szCs w:val="15"/>
          <w:color w:val="auto"/>
        </w:rPr>
        <w:t>pursuant to the Company’s equity plans that are described in the Pricing Prospectus and the Prospectus, (B) the repurchase of shares of capital stock from a stockholder upon termination of the holder’s employment or service with the Company pursuant to agreements providing for an option to repurchase or a right of first refusal on behalf of the Company, or (C) the issuance, if any, of shares of Stock upon the exercise, conversion, exchange or reclassification of Company securities as described in the Pricing Prospectus and the Prospectus) or long-term debt of the Company or any of its subsidiaries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and its subsidiaries, taken as a whole, except as set forth or contemplated in the Pricing Prospectus, or (ii) the ability of the Company to perform its obligations under this Agreement or to consummate the transactions contemplated in the Pricing Prospectus and the Prospectus;</w:t>
      </w:r>
    </w:p>
    <w:p>
      <w:pPr>
        <w:spacing w:after="0" w:line="319" w:lineRule="exact"/>
        <w:rPr>
          <w:sz w:val="20"/>
          <w:szCs w:val="20"/>
          <w:color w:val="auto"/>
        </w:rPr>
      </w:pPr>
    </w:p>
    <w:p>
      <w:pPr>
        <w:jc w:val="both"/>
        <w:ind w:firstLine="514"/>
        <w:spacing w:after="0" w:line="263" w:lineRule="auto"/>
        <w:tabs>
          <w:tab w:leader="none" w:pos="93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Company and its subsidiaries have good and marketable title in fee simple to all real property and good and marketable title to all personal property owned by them (other than with respect to intellectual property, which is addressed exclusively in subsection (xxxi) of this Section 1(a)),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to the Company’s knowledge, enforceable leases (subject to the effects of (A) bankruptcy, insolvency, fraudulent conveyance, fraudulent transfer, reorganization, moratorium or other similar laws relating to or affecting the rights or remedies of creditors generally; (B) the application of general principles of equity (including without limitation, concepts of materiality, reasonableness, good faith and fair dealing, regardless of whether enforcement is considered in proceedings at law or in equity); and (C) applicable law and public policy with respect to rights to indemnity and contribution) with such exceptions as are not material and do not materially interfere with the use made and proposed to be made of such property and buildings by the Company and its subsidiaries;</w:t>
      </w:r>
    </w:p>
    <w:p>
      <w:pPr>
        <w:spacing w:after="0" w:line="130" w:lineRule="exact"/>
        <w:rPr>
          <w:rFonts w:ascii="Arial" w:cs="Arial" w:eastAsia="Arial" w:hAnsi="Arial"/>
          <w:sz w:val="15"/>
          <w:szCs w:val="15"/>
          <w:color w:val="auto"/>
        </w:rPr>
      </w:pPr>
    </w:p>
    <w:p>
      <w:pPr>
        <w:jc w:val="both"/>
        <w:ind w:firstLine="514"/>
        <w:spacing w:after="0" w:line="265" w:lineRule="auto"/>
        <w:tabs>
          <w:tab w:leader="none" w:pos="977" w:val="left"/>
        </w:tabs>
        <w:numPr>
          <w:ilvl w:val="0"/>
          <w:numId w:val="25"/>
        </w:numPr>
        <w:rPr>
          <w:rFonts w:ascii="Arial" w:cs="Arial" w:eastAsia="Arial" w:hAnsi="Arial"/>
          <w:sz w:val="15"/>
          <w:szCs w:val="15"/>
          <w:color w:val="auto"/>
        </w:rPr>
      </w:pPr>
      <w:r>
        <w:rPr>
          <w:rFonts w:ascii="Arial" w:cs="Arial" w:eastAsia="Arial" w:hAnsi="Arial"/>
          <w:sz w:val="15"/>
          <w:szCs w:val="15"/>
          <w:color w:val="auto"/>
        </w:rPr>
        <w:t>Each of the Company and each of its subsidiaries has been (i) duly organized and is validly existing and in good standing under the laws of its jurisdiction of organization (where such concept exists), with power and authority (corporate and other) to own its properties and conduct its business as described in the Pricing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(where such concept exists) would not, individually or in the aggregate, reasonably be expected to have a Material Adverse Effect, and each significant subsidiary (as such term is defined in Rule 1-02 of Regulation S-X promulgated under the Act), if any, of the Company has been listed in Exhibit 21.1 to the Registration Statement;</w:t>
      </w:r>
    </w:p>
    <w:p>
      <w:pPr>
        <w:sectPr>
          <w:pgSz w:w="11900" w:h="16838" w:orient="portrait"/>
          <w:cols w:equalWidth="0" w:num="1">
            <w:col w:w="10780"/>
          </w:cols>
          <w:pgMar w:left="800" w:top="1133" w:right="319" w:bottom="1440" w:gutter="0" w:footer="0" w:header="0"/>
        </w:sectPr>
      </w:pPr>
    </w:p>
    <w:bookmarkStart w:id="42" w:name="page43"/>
    <w:bookmarkEnd w:id="42"/>
    <w:p>
      <w:pPr>
        <w:jc w:val="both"/>
        <w:ind w:firstLine="514"/>
        <w:spacing w:after="0" w:line="265" w:lineRule="auto"/>
        <w:tabs>
          <w:tab w:leader="none" w:pos="892"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Company has an authorized capitalization as set forth in the Pricing Prospectus and all of the issued and outstanding shares of capital stock of the Company, including the Shares to be sold by the Selling Stockholder, have been duly and validly authorized and issued and are fully paid and non-assessable and conform in all material respects to the description of the Stock contained in the Pricing Disclosure Package and Prospectus; and all of the issued and outstanding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or encumbrances described in the Pricing Prospectus and the Prospectus;</w:t>
      </w:r>
    </w:p>
    <w:p>
      <w:pPr>
        <w:spacing w:after="0" w:line="140" w:lineRule="exact"/>
        <w:rPr>
          <w:rFonts w:ascii="Arial" w:cs="Arial" w:eastAsia="Arial" w:hAnsi="Arial"/>
          <w:sz w:val="15"/>
          <w:szCs w:val="15"/>
          <w:color w:val="auto"/>
        </w:rPr>
      </w:pPr>
    </w:p>
    <w:p>
      <w:pPr>
        <w:jc w:val="both"/>
        <w:ind w:firstLine="514"/>
        <w:spacing w:after="0" w:line="260" w:lineRule="auto"/>
        <w:tabs>
          <w:tab w:leader="none" w:pos="866"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regulatory body having jurisdiction over the Company or any of its subsidiaries or any of their properties, except in the case of clauses (A) and (C) as would not, individually or in the aggregate, reasonably be expected to have a Material Adverse Effect; and no consent, approval, authorization, order, registration or qualification of or with any such court or governmental agency or body is required for the sale of the Shares or the consummation by the Company of the transactions contemplated by this Agreement, except such as have been obtained under the Act, the approval by the Financial Industry Regulatory Authority (“FINRA”) of the underwriting terms and arrangements, the approval for listing on The Nasdaq Stock Market, LLC (the “Exchange”) and such consents, approvals, authorizations, registrations, orders or qualifications as have been obtained or as may be required under state securities or Blue Sky laws in connection with the purchase and distribution of the Shares by the Underwriters;</w:t>
      </w:r>
    </w:p>
    <w:p>
      <w:pPr>
        <w:spacing w:after="0" w:line="146" w:lineRule="exact"/>
        <w:rPr>
          <w:rFonts w:ascii="Arial" w:cs="Arial" w:eastAsia="Arial" w:hAnsi="Arial"/>
          <w:sz w:val="15"/>
          <w:szCs w:val="15"/>
          <w:color w:val="auto"/>
        </w:rPr>
      </w:pPr>
    </w:p>
    <w:p>
      <w:pPr>
        <w:jc w:val="both"/>
        <w:ind w:firstLine="514"/>
        <w:spacing w:after="0" w:line="265" w:lineRule="auto"/>
        <w:tabs>
          <w:tab w:leader="none" w:pos="928" w:val="left"/>
        </w:tabs>
        <w:numPr>
          <w:ilvl w:val="0"/>
          <w:numId w:val="26"/>
        </w:numPr>
        <w:rPr>
          <w:rFonts w:ascii="Arial" w:cs="Arial" w:eastAsia="Arial" w:hAnsi="Arial"/>
          <w:sz w:val="15"/>
          <w:szCs w:val="15"/>
          <w:color w:val="auto"/>
        </w:rPr>
      </w:pPr>
      <w:r>
        <w:rPr>
          <w:rFonts w:ascii="Arial" w:cs="Arial" w:eastAsia="Arial" w:hAnsi="Arial"/>
          <w:sz w:val="15"/>
          <w:szCs w:val="15"/>
          <w:color w:val="auto"/>
        </w:rPr>
        <w:t>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and defaults as would not, individually or in the aggregate, reasonably be expected to have a Material Adverse Effect;</w:t>
      </w:r>
    </w:p>
    <w:p>
      <w:pPr>
        <w:spacing w:after="0" w:line="130" w:lineRule="exact"/>
        <w:rPr>
          <w:rFonts w:ascii="Arial" w:cs="Arial" w:eastAsia="Arial" w:hAnsi="Arial"/>
          <w:sz w:val="15"/>
          <w:szCs w:val="15"/>
          <w:color w:val="auto"/>
        </w:rPr>
      </w:pPr>
    </w:p>
    <w:p>
      <w:pPr>
        <w:ind w:left="940" w:hanging="426"/>
        <w:spacing w:after="0"/>
        <w:tabs>
          <w:tab w:leader="none" w:pos="9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statements set forth in the Pricing Prospectus and the Prospectus under the caption “Description of Capital Stock,” insofar as they purport to</w:t>
      </w:r>
    </w:p>
    <w:p>
      <w:pPr>
        <w:spacing w:after="0" w:line="2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constitute a</w:t>
      </w:r>
    </w:p>
    <w:p>
      <w:pPr>
        <w:sectPr>
          <w:pgSz w:w="11900" w:h="16838" w:orient="portrait"/>
          <w:cols w:equalWidth="0" w:num="1">
            <w:col w:w="10780"/>
          </w:cols>
          <w:pgMar w:left="800" w:top="1133" w:right="319" w:bottom="1440" w:gutter="0" w:footer="0" w:header="0"/>
        </w:sectPr>
      </w:pPr>
    </w:p>
    <w:bookmarkStart w:id="43" w:name="page44"/>
    <w:bookmarkEnd w:id="43"/>
    <w:p>
      <w:pPr>
        <w:jc w:val="both"/>
        <w:spacing w:after="0" w:line="266" w:lineRule="auto"/>
        <w:rPr>
          <w:sz w:val="20"/>
          <w:szCs w:val="20"/>
          <w:color w:val="auto"/>
        </w:rPr>
      </w:pPr>
      <w:r>
        <w:rPr>
          <w:rFonts w:ascii="Arial" w:cs="Arial" w:eastAsia="Arial" w:hAnsi="Arial"/>
          <w:sz w:val="15"/>
          <w:szCs w:val="15"/>
          <w:color w:val="auto"/>
        </w:rPr>
        <w:t>summary of the terms of the Stock, under the caption “Material U.S. Federal Income Tax Consequences to Non-U.S. Holders of Our Series A Common Stock,” insofar as they purport to describe matters of U.S. federal income tax law, and under the caption “Underwriting,” insofar as they purport to describe the provisions of the laws (other than laws, rules and regulations relating to selling restrictions in various foreign jurisdictions) and documents referred to therein, are accurate, complete and fair in all material respects; provided, however, that this representation and warranty shall not apply to any statements or omissions made in reliance upon and in conformity with the Underwriter Information;</w:t>
      </w:r>
    </w:p>
    <w:p>
      <w:pPr>
        <w:spacing w:after="0" w:line="138" w:lineRule="exact"/>
        <w:rPr>
          <w:sz w:val="20"/>
          <w:szCs w:val="20"/>
          <w:color w:val="auto"/>
        </w:rPr>
      </w:pPr>
    </w:p>
    <w:p>
      <w:pPr>
        <w:jc w:val="both"/>
        <w:ind w:firstLine="514"/>
        <w:spacing w:after="0" w:line="261" w:lineRule="auto"/>
        <w:tabs>
          <w:tab w:leader="none" w:pos="971" w:val="left"/>
        </w:tabs>
        <w:numPr>
          <w:ilvl w:val="0"/>
          <w:numId w:val="27"/>
        </w:numPr>
        <w:rPr>
          <w:rFonts w:ascii="Arial" w:cs="Arial" w:eastAsia="Arial" w:hAnsi="Arial"/>
          <w:sz w:val="15"/>
          <w:szCs w:val="15"/>
          <w:color w:val="auto"/>
        </w:rPr>
      </w:pPr>
      <w:r>
        <w:rPr>
          <w:rFonts w:ascii="Arial" w:cs="Arial" w:eastAsia="Arial" w:hAnsi="Arial"/>
          <w:sz w:val="15"/>
          <w:szCs w:val="15"/>
          <w:color w:val="auto"/>
        </w:rPr>
        <w:t>Other than as set forth in the Pricing Prospectus, there are no legal, governmental or regulatory investigations, actions, demands, claims, suits, arbitrations, inquiries or proceedings (“Actions”)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in all material respects therein; and there are no statutes, regulations or contracts or other documents that are required under the Act to be filed as exhibits to the Registration Statement or described in the Registration Statement, the Pricing Prospectus that are not so filed as exhibits to the Registration Statement or described in all material respects in the Registration Statement and the Pricing Prospectus;</w:t>
      </w:r>
    </w:p>
    <w:p>
      <w:pPr>
        <w:spacing w:after="0" w:line="332" w:lineRule="exact"/>
        <w:rPr>
          <w:rFonts w:ascii="Arial" w:cs="Arial" w:eastAsia="Arial" w:hAnsi="Arial"/>
          <w:sz w:val="15"/>
          <w:szCs w:val="15"/>
          <w:color w:val="auto"/>
        </w:rPr>
      </w:pPr>
    </w:p>
    <w:p>
      <w:pPr>
        <w:ind w:firstLine="514"/>
        <w:spacing w:after="0" w:line="304" w:lineRule="auto"/>
        <w:tabs>
          <w:tab w:leader="none" w:pos="988"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Company is not an “investment company”, as such term is defined in the Investment Company Act of 1940, as amended (the “Investment Company Act”);</w:t>
      </w:r>
    </w:p>
    <w:p>
      <w:pPr>
        <w:spacing w:after="0" w:line="99" w:lineRule="exact"/>
        <w:rPr>
          <w:rFonts w:ascii="Arial" w:cs="Arial" w:eastAsia="Arial" w:hAnsi="Arial"/>
          <w:sz w:val="15"/>
          <w:szCs w:val="15"/>
          <w:color w:val="auto"/>
        </w:rPr>
      </w:pPr>
    </w:p>
    <w:p>
      <w:pPr>
        <w:jc w:val="both"/>
        <w:ind w:firstLine="514"/>
        <w:spacing w:after="0" w:line="276" w:lineRule="auto"/>
        <w:tabs>
          <w:tab w:leader="none" w:pos="935" w:val="left"/>
        </w:tabs>
        <w:numPr>
          <w:ilvl w:val="0"/>
          <w:numId w:val="27"/>
        </w:numPr>
        <w:rPr>
          <w:rFonts w:ascii="Arial" w:cs="Arial" w:eastAsia="Arial" w:hAnsi="Arial"/>
          <w:sz w:val="15"/>
          <w:szCs w:val="15"/>
          <w:color w:val="auto"/>
        </w:rPr>
      </w:pPr>
      <w:r>
        <w:rPr>
          <w:rFonts w:ascii="Arial" w:cs="Arial" w:eastAsia="Arial" w:hAnsi="Arial"/>
          <w:sz w:val="15"/>
          <w:szCs w:val="15"/>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under Rule 405 under the Act;</w:t>
      </w:r>
    </w:p>
    <w:p>
      <w:pPr>
        <w:spacing w:after="0" w:line="130" w:lineRule="exact"/>
        <w:rPr>
          <w:rFonts w:ascii="Arial" w:cs="Arial" w:eastAsia="Arial" w:hAnsi="Arial"/>
          <w:sz w:val="15"/>
          <w:szCs w:val="15"/>
          <w:color w:val="auto"/>
        </w:rPr>
      </w:pPr>
    </w:p>
    <w:p>
      <w:pPr>
        <w:ind w:firstLine="514"/>
        <w:spacing w:after="0" w:line="289" w:lineRule="auto"/>
        <w:tabs>
          <w:tab w:leader="none" w:pos="978" w:val="left"/>
        </w:tabs>
        <w:numPr>
          <w:ilvl w:val="0"/>
          <w:numId w:val="27"/>
        </w:numPr>
        <w:rPr>
          <w:rFonts w:ascii="Arial" w:cs="Arial" w:eastAsia="Arial" w:hAnsi="Arial"/>
          <w:sz w:val="15"/>
          <w:szCs w:val="15"/>
          <w:color w:val="auto"/>
        </w:rPr>
      </w:pPr>
      <w:r>
        <w:rPr>
          <w:rFonts w:ascii="Arial" w:cs="Arial" w:eastAsia="Arial" w:hAnsi="Arial"/>
          <w:sz w:val="15"/>
          <w:szCs w:val="15"/>
          <w:color w:val="auto"/>
        </w:rPr>
        <w:t>Deloitte &amp; Touche LLP, which has certified certain financial statements of the Company and its subsidiaries, is an independent registered public accounting firm as required by the Act and the rules and regulations of the Commission thereunder;</w:t>
      </w:r>
    </w:p>
    <w:p>
      <w:pPr>
        <w:spacing w:after="0" w:line="121" w:lineRule="exact"/>
        <w:rPr>
          <w:rFonts w:ascii="Arial" w:cs="Arial" w:eastAsia="Arial" w:hAnsi="Arial"/>
          <w:sz w:val="15"/>
          <w:szCs w:val="15"/>
          <w:color w:val="auto"/>
        </w:rPr>
      </w:pPr>
    </w:p>
    <w:p>
      <w:pPr>
        <w:jc w:val="both"/>
        <w:ind w:firstLine="514"/>
        <w:spacing w:after="0" w:line="266" w:lineRule="auto"/>
        <w:tabs>
          <w:tab w:leader="none" w:pos="999"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Company maintains a system of internal control over financial reporting (as such term is defined in Rule 13a-15(f) under the Exchange Act) that (i) complies with the requirements of the Exchange Act applicable to the Company,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U.S. generally accepted accounting principles (“GAAP”) and (iii) is designed to provide reasonable assurance that (A) transactions are executed</w:t>
      </w:r>
    </w:p>
    <w:p>
      <w:pPr>
        <w:sectPr>
          <w:pgSz w:w="11900" w:h="16838" w:orient="portrait"/>
          <w:cols w:equalWidth="0" w:num="1">
            <w:col w:w="10780"/>
          </w:cols>
          <w:pgMar w:left="800" w:top="1133" w:right="319" w:bottom="1440" w:gutter="0" w:footer="0" w:header="0"/>
        </w:sectPr>
      </w:pPr>
    </w:p>
    <w:bookmarkStart w:id="44" w:name="page45"/>
    <w:bookmarkEnd w:id="44"/>
    <w:p>
      <w:pPr>
        <w:jc w:val="both"/>
        <w:spacing w:after="0" w:line="265" w:lineRule="auto"/>
        <w:rPr>
          <w:sz w:val="20"/>
          <w:szCs w:val="20"/>
          <w:color w:val="auto"/>
        </w:rPr>
      </w:pPr>
      <w:r>
        <w:rPr>
          <w:rFonts w:ascii="Arial" w:cs="Arial" w:eastAsia="Arial" w:hAnsi="Arial"/>
          <w:sz w:val="15"/>
          <w:szCs w:val="15"/>
          <w:color w:val="auto"/>
        </w:rPr>
        <w:t>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 provided, however, that this subsection shall not require the Company to comply with Section 404 of the Sarbanes-Oxley Act of 2002, as amended, and the rules and regulations promulgated in connection therewith (the “Sarbanes-Oxley Act”), as of an earlier date than it would otherwise be required to so comply under applicable law;</w:t>
      </w:r>
    </w:p>
    <w:p>
      <w:pPr>
        <w:spacing w:after="0" w:line="129" w:lineRule="exact"/>
        <w:rPr>
          <w:sz w:val="20"/>
          <w:szCs w:val="20"/>
          <w:color w:val="auto"/>
        </w:rPr>
      </w:pPr>
    </w:p>
    <w:p>
      <w:pPr>
        <w:jc w:val="both"/>
        <w:ind w:firstLine="514"/>
        <w:spacing w:after="0" w:line="276" w:lineRule="auto"/>
        <w:tabs>
          <w:tab w:leader="none" w:pos="10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Since the date of the latest audited financial statements included or incorporated by reference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30" w:lineRule="exact"/>
        <w:rPr>
          <w:rFonts w:ascii="Arial" w:cs="Arial" w:eastAsia="Arial" w:hAnsi="Arial"/>
          <w:sz w:val="15"/>
          <w:szCs w:val="15"/>
          <w:color w:val="auto"/>
        </w:rPr>
      </w:pPr>
    </w:p>
    <w:p>
      <w:pPr>
        <w:jc w:val="both"/>
        <w:ind w:firstLine="514"/>
        <w:spacing w:after="0" w:line="272" w:lineRule="auto"/>
        <w:tabs>
          <w:tab w:leader="none" w:pos="1044"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Company maintains disclosure controls and procedures (as such term is defined in Rule 13a-15(e) under the Exchange Act) that are designed to comply with the requirements of the Exchange Act applicable to the Company; any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22" w:lineRule="exact"/>
        <w:rPr>
          <w:rFonts w:ascii="Arial" w:cs="Arial" w:eastAsia="Arial" w:hAnsi="Arial"/>
          <w:sz w:val="15"/>
          <w:szCs w:val="15"/>
          <w:color w:val="auto"/>
        </w:rPr>
      </w:pPr>
    </w:p>
    <w:p>
      <w:pPr>
        <w:ind w:left="940" w:hanging="426"/>
        <w:spacing w:after="0"/>
        <w:tabs>
          <w:tab w:leader="none" w:pos="9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This Agreement has been duly authorized, executed and delivered by the Company;</w:t>
      </w:r>
    </w:p>
    <w:p>
      <w:pPr>
        <w:spacing w:after="0" w:line="185" w:lineRule="exact"/>
        <w:rPr>
          <w:rFonts w:ascii="Arial" w:cs="Arial" w:eastAsia="Arial" w:hAnsi="Arial"/>
          <w:sz w:val="15"/>
          <w:szCs w:val="15"/>
          <w:color w:val="auto"/>
        </w:rPr>
      </w:pPr>
    </w:p>
    <w:p>
      <w:pPr>
        <w:jc w:val="both"/>
        <w:ind w:firstLine="514"/>
        <w:spacing w:after="0" w:line="272" w:lineRule="auto"/>
        <w:tabs>
          <w:tab w:leader="none" w:pos="994" w:val="left"/>
        </w:tabs>
        <w:numPr>
          <w:ilvl w:val="0"/>
          <w:numId w:val="28"/>
        </w:numPr>
        <w:rPr>
          <w:rFonts w:ascii="Arial" w:cs="Arial" w:eastAsia="Arial" w:hAnsi="Arial"/>
          <w:sz w:val="15"/>
          <w:szCs w:val="15"/>
          <w:color w:val="auto"/>
        </w:rPr>
      </w:pPr>
      <w:r>
        <w:rPr>
          <w:rFonts w:ascii="Arial" w:cs="Arial" w:eastAsia="Arial" w:hAnsi="Arial"/>
          <w:sz w:val="15"/>
          <w:szCs w:val="15"/>
          <w:color w:val="auto"/>
        </w:rPr>
        <w:t>Except as have been waived or complied with in connection with the issuance and sale of the Shares contemplated hereby or as described in each of the Registration Statement, the Pricing Prospectus and the Prospectus, 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Shares registered pursuant to the Registration Statement that has not been waived;</w:t>
      </w:r>
    </w:p>
    <w:p>
      <w:pPr>
        <w:spacing w:after="0" w:line="122" w:lineRule="exact"/>
        <w:rPr>
          <w:rFonts w:ascii="Arial" w:cs="Arial" w:eastAsia="Arial" w:hAnsi="Arial"/>
          <w:sz w:val="15"/>
          <w:szCs w:val="15"/>
          <w:color w:val="auto"/>
        </w:rPr>
      </w:pPr>
    </w:p>
    <w:p>
      <w:pPr>
        <w:ind w:left="1040" w:hanging="526"/>
        <w:spacing w:after="0"/>
        <w:tabs>
          <w:tab w:leader="none" w:pos="10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Neither the Company nor any of its subsidiaries or controlled affiliates, or any director or officer thereof, or, to the knowledge of the Company,</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any employee, agent, representative or other person associated with or acting on behalf of the Company or any of its subsidiaries or controlled affiliates has</w:t>
      </w:r>
    </w:p>
    <w:p>
      <w:pPr>
        <w:spacing w:after="0" w:line="8" w:lineRule="exact"/>
        <w:rPr>
          <w:sz w:val="20"/>
          <w:szCs w:val="20"/>
          <w:color w:val="auto"/>
        </w:rPr>
      </w:pPr>
    </w:p>
    <w:p>
      <w:pPr>
        <w:jc w:val="both"/>
        <w:ind w:firstLine="9"/>
        <w:spacing w:after="0" w:line="265" w:lineRule="auto"/>
        <w:tabs>
          <w:tab w:leader="none" w:pos="185" w:val="left"/>
        </w:tabs>
        <w:numPr>
          <w:ilvl w:val="0"/>
          <w:numId w:val="29"/>
        </w:numPr>
        <w:rPr>
          <w:rFonts w:ascii="Arial" w:cs="Arial" w:eastAsia="Arial" w:hAnsi="Arial"/>
          <w:sz w:val="15"/>
          <w:szCs w:val="15"/>
          <w:color w:val="auto"/>
        </w:rPr>
      </w:pPr>
      <w:r>
        <w:rPr>
          <w:rFonts w:ascii="Arial" w:cs="Arial" w:eastAsia="Arial" w:hAnsi="Arial"/>
          <w:sz w:val="15"/>
          <w:szCs w:val="15"/>
          <w:color w:val="auto"/>
        </w:rPr>
        <w:t>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“Anti-Corruption</w:t>
      </w:r>
    </w:p>
    <w:p>
      <w:pPr>
        <w:sectPr>
          <w:pgSz w:w="11900" w:h="16838" w:orient="portrait"/>
          <w:cols w:equalWidth="0" w:num="1">
            <w:col w:w="10780"/>
          </w:cols>
          <w:pgMar w:left="800" w:top="1133" w:right="319" w:bottom="1440" w:gutter="0" w:footer="0" w:header="0"/>
        </w:sectPr>
      </w:pPr>
    </w:p>
    <w:bookmarkStart w:id="45" w:name="page46"/>
    <w:bookmarkEnd w:id="45"/>
    <w:p>
      <w:pPr>
        <w:jc w:val="both"/>
        <w:spacing w:after="0" w:line="266" w:lineRule="auto"/>
        <w:rPr>
          <w:sz w:val="20"/>
          <w:szCs w:val="20"/>
          <w:color w:val="auto"/>
        </w:rPr>
      </w:pPr>
      <w:r>
        <w:rPr>
          <w:rFonts w:ascii="Arial" w:cs="Arial" w:eastAsia="Arial" w:hAnsi="Arial"/>
          <w:sz w:val="15"/>
          <w:szCs w:val="15"/>
          <w:color w:val="auto"/>
        </w:rPr>
        <w:t>Laws”); the Company and each of its subsidiaries have conducted their businesses in compliance with Anti-Corruption Laws and have instituted and maintained and will continue to maintain policies, procedures and internal controls reasonably designed to promote and achieve compliance with such laws and with the representations and warranties contained herein; neither the Company nor any of its subsidiaries will use, directly or indirectly, the proceeds of the offering in furtherance of an offer, payment, promise to pay, or authorization of the payment or giving of money, or anything else of value, to any person in violation of Anti-Corruption Laws;</w:t>
      </w:r>
    </w:p>
    <w:p>
      <w:pPr>
        <w:spacing w:after="0" w:line="138" w:lineRule="exact"/>
        <w:rPr>
          <w:sz w:val="20"/>
          <w:szCs w:val="20"/>
          <w:color w:val="auto"/>
        </w:rPr>
      </w:pPr>
    </w:p>
    <w:p>
      <w:pPr>
        <w:jc w:val="both"/>
        <w:ind w:firstLine="514"/>
        <w:spacing w:after="0" w:line="265" w:lineRule="auto"/>
        <w:tabs>
          <w:tab w:leader="none" w:pos="1143"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29" w:lineRule="exact"/>
        <w:rPr>
          <w:rFonts w:ascii="Arial" w:cs="Arial" w:eastAsia="Arial" w:hAnsi="Arial"/>
          <w:sz w:val="15"/>
          <w:szCs w:val="15"/>
          <w:color w:val="auto"/>
        </w:rPr>
      </w:pPr>
    </w:p>
    <w:p>
      <w:pPr>
        <w:jc w:val="both"/>
        <w:ind w:firstLine="514"/>
        <w:spacing w:after="0" w:line="260" w:lineRule="auto"/>
        <w:tabs>
          <w:tab w:leader="none" w:pos="1063" w:val="left"/>
        </w:tabs>
        <w:numPr>
          <w:ilvl w:val="0"/>
          <w:numId w:val="30"/>
        </w:numPr>
        <w:rPr>
          <w:rFonts w:ascii="Arial" w:cs="Arial" w:eastAsia="Arial" w:hAnsi="Arial"/>
          <w:sz w:val="15"/>
          <w:szCs w:val="15"/>
          <w:color w:val="auto"/>
        </w:rPr>
      </w:pPr>
      <w:r>
        <w:rPr>
          <w:rFonts w:ascii="Arial" w:cs="Arial" w:eastAsia="Arial" w:hAnsi="Arial"/>
          <w:sz w:val="15"/>
          <w:szCs w:val="15"/>
          <w:color w:val="auto"/>
        </w:rPr>
        <w:t>Neither the Company nor any of its subsidiaries or controlled affiliates, or any director or officer thereof, or, to the knowledge of the Company, any employee, agent, representative or other person associated with or acting on behalf of the Company or any of its subsidiaries or controlled affiliates is (i) currently the subject or the target of any applicable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the United Nations Security Council, or other relevant sanctions authority (collectively, “Sanctions”), (ii) located, organized, or resident in a country or territory that is the subject or target of Sanctions (currently, the so-called Donetsk People’s Republic, the so-called Luhansk People’s Republic, or any other Covered Region of Ukraine identified pursuant to Executive Order 14065, Crimea, Cuba, Iran, North Korea and Syria) (a “Sanctioned Jurisdiction”),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or facilitation, is the subject or the target of Sanctions or with a Sanctioned Jurisdiction or (II) in any other manner that will result in a violation by any person (including any person participating in the transaction, whether as underwriter, advisor, investor or otherwise) of Sanctions; neither the Company nor any of its subsidiaries is engaged in, or has, at any time since April 24, 2019, knowingly engaged in, any dealings or transactions with or involving any individual or entity that was or is, as applicable, at the time of such dealing or transaction, the subject or target of Sanctions or with any Sanctioned Jurisdiction, in violation of Sanctions; the Company and its subsidiaries have instituted, and maintain,</w:t>
      </w:r>
    </w:p>
    <w:p>
      <w:pPr>
        <w:sectPr>
          <w:pgSz w:w="11900" w:h="16838" w:orient="portrait"/>
          <w:cols w:equalWidth="0" w:num="1">
            <w:col w:w="10780"/>
          </w:cols>
          <w:pgMar w:left="800" w:top="1133" w:right="319" w:bottom="1440" w:gutter="0" w:footer="0" w:header="0"/>
        </w:sectPr>
      </w:pPr>
    </w:p>
    <w:bookmarkStart w:id="46" w:name="page47"/>
    <w:bookmarkEnd w:id="46"/>
    <w:p>
      <w:pPr>
        <w:spacing w:after="0"/>
        <w:rPr>
          <w:sz w:val="20"/>
          <w:szCs w:val="20"/>
          <w:color w:val="auto"/>
        </w:rPr>
      </w:pPr>
      <w:r>
        <w:rPr>
          <w:rFonts w:ascii="Arial" w:cs="Arial" w:eastAsia="Arial" w:hAnsi="Arial"/>
          <w:sz w:val="15"/>
          <w:szCs w:val="15"/>
          <w:color w:val="auto"/>
        </w:rPr>
        <w:t>policies and procedures designed to promote and achieve continued compliance with Sanctions;</w:t>
      </w:r>
    </w:p>
    <w:p>
      <w:pPr>
        <w:spacing w:after="0" w:line="185" w:lineRule="exact"/>
        <w:rPr>
          <w:sz w:val="20"/>
          <w:szCs w:val="20"/>
          <w:color w:val="auto"/>
        </w:rPr>
      </w:pPr>
    </w:p>
    <w:p>
      <w:pPr>
        <w:jc w:val="both"/>
        <w:ind w:firstLine="514"/>
        <w:spacing w:after="0" w:line="266" w:lineRule="auto"/>
        <w:tabs>
          <w:tab w:leader="none" w:pos="1081" w:val="left"/>
        </w:tabs>
        <w:numPr>
          <w:ilvl w:val="0"/>
          <w:numId w:val="31"/>
        </w:numPr>
        <w:rPr>
          <w:rFonts w:ascii="Arial" w:cs="Arial" w:eastAsia="Arial" w:hAnsi="Arial"/>
          <w:sz w:val="15"/>
          <w:szCs w:val="15"/>
          <w:color w:val="auto"/>
        </w:rPr>
      </w:pPr>
      <w:r>
        <w:rPr>
          <w:rFonts w:ascii="Arial" w:cs="Arial" w:eastAsia="Arial" w:hAnsi="Arial"/>
          <w:sz w:val="15"/>
          <w:szCs w:val="15"/>
          <w:color w:val="auto"/>
        </w:rPr>
        <w:t>Neither the Company nor any of its subsidiaries is a “covered foreign person”, as that term is defined in 31 C.F.R. § 850.209. Neither the Company nor any of its subsidiaries currently engage, or have plans to engage, directly or indirectly, in a “covered activity”, as that term is defined in in 31 C.F.R. § 850.208 (“Covered Activity”).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138" w:lineRule="exact"/>
        <w:rPr>
          <w:rFonts w:ascii="Arial" w:cs="Arial" w:eastAsia="Arial" w:hAnsi="Arial"/>
          <w:sz w:val="15"/>
          <w:szCs w:val="15"/>
          <w:color w:val="auto"/>
        </w:rPr>
      </w:pPr>
    </w:p>
    <w:p>
      <w:pPr>
        <w:jc w:val="both"/>
        <w:ind w:firstLine="514"/>
        <w:spacing w:after="0" w:line="261" w:lineRule="auto"/>
        <w:tabs>
          <w:tab w:leader="none" w:pos="1168"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financial statements included in the Registration Statement, the Pricing Prospectus and the Prospectus, together with the related schedules and notes,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GAAP, applied on a consistent basis throughout the periods involved. The supporting schedules, if any, present fairly in all material respects in accordance with GAAP the information required to be stated therein. The summary financial information included in the Registration Statement, the Pricing Prospectus and the Prospectus present fairly in all material respects the information shown therein and, other than non-GAAP financial measures,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in all material respects with Regulation G of the Exchange Act and Item 10 of Regulation S-K of the Act, to the extent applicable;</w:t>
      </w:r>
    </w:p>
    <w:p>
      <w:pPr>
        <w:spacing w:after="0" w:line="135" w:lineRule="exact"/>
        <w:rPr>
          <w:rFonts w:ascii="Arial" w:cs="Arial" w:eastAsia="Arial" w:hAnsi="Arial"/>
          <w:sz w:val="15"/>
          <w:szCs w:val="15"/>
          <w:color w:val="auto"/>
        </w:rPr>
      </w:pPr>
    </w:p>
    <w:p>
      <w:pPr>
        <w:jc w:val="both"/>
        <w:ind w:firstLine="514"/>
        <w:spacing w:after="0" w:line="276" w:lineRule="auto"/>
        <w:tabs>
          <w:tab w:leader="none" w:pos="1101"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Company has not, directly or indirectly, including through any subsidiary, extended or maintained credit, or arranged for the extension of credit, or renewed any extension of credit, in the form of a personal loan to or for any of its directors or executive officers that was outstanding at or after the time of the first filing of the Registration Statement with the Commission;</w:t>
      </w:r>
    </w:p>
    <w:p>
      <w:pPr>
        <w:spacing w:after="0" w:line="130" w:lineRule="exact"/>
        <w:rPr>
          <w:rFonts w:ascii="Arial" w:cs="Arial" w:eastAsia="Arial" w:hAnsi="Arial"/>
          <w:sz w:val="15"/>
          <w:szCs w:val="15"/>
          <w:color w:val="auto"/>
        </w:rPr>
      </w:pPr>
    </w:p>
    <w:p>
      <w:pPr>
        <w:jc w:val="both"/>
        <w:ind w:firstLine="514"/>
        <w:spacing w:after="0" w:line="272" w:lineRule="auto"/>
        <w:tabs>
          <w:tab w:leader="none" w:pos="1156"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Company has not sold or issued any shares of Stock during the six-month period preceding the date of the Prospectus, including any sales pursuant to Rule 144A or Regulation D of the Act, other than (i) shares issued pursuant to employee benefit plans, stock option plans or other employee compensation plans or pursuant to outstanding options, rights or warrants, or (ii) as disclosed in the Registration Statement, the Pricing Prospectus and the Prospectus;</w:t>
      </w:r>
    </w:p>
    <w:p>
      <w:pPr>
        <w:spacing w:after="0" w:line="122" w:lineRule="exact"/>
        <w:rPr>
          <w:rFonts w:ascii="Arial" w:cs="Arial" w:eastAsia="Arial" w:hAnsi="Arial"/>
          <w:sz w:val="15"/>
          <w:szCs w:val="15"/>
          <w:color w:val="auto"/>
        </w:rPr>
      </w:pPr>
    </w:p>
    <w:p>
      <w:pPr>
        <w:ind w:firstLine="514"/>
        <w:spacing w:after="0" w:line="304" w:lineRule="auto"/>
        <w:tabs>
          <w:tab w:leader="none" w:pos="1059"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Company and its subsidiaries have filed all U.S. federal, state, and local and all non-U.S. tax returns required to be filed through the date of this Agreement</w:t>
      </w:r>
    </w:p>
    <w:p>
      <w:pPr>
        <w:sectPr>
          <w:pgSz w:w="11900" w:h="16838" w:orient="portrait"/>
          <w:cols w:equalWidth="0" w:num="1">
            <w:col w:w="10780"/>
          </w:cols>
          <w:pgMar w:left="800" w:top="1133" w:right="319" w:bottom="1440" w:gutter="0" w:footer="0" w:header="0"/>
        </w:sectPr>
      </w:pPr>
    </w:p>
    <w:bookmarkStart w:id="47" w:name="page48"/>
    <w:bookmarkEnd w:id="47"/>
    <w:p>
      <w:pPr>
        <w:jc w:val="both"/>
        <w:spacing w:after="0" w:line="265" w:lineRule="auto"/>
        <w:rPr>
          <w:sz w:val="20"/>
          <w:szCs w:val="20"/>
          <w:color w:val="auto"/>
        </w:rPr>
      </w:pPr>
      <w:r>
        <w:rPr>
          <w:rFonts w:ascii="Arial" w:cs="Arial" w:eastAsia="Arial" w:hAnsi="Arial"/>
          <w:sz w:val="15"/>
          <w:szCs w:val="15"/>
          <w:color w:val="auto"/>
        </w:rPr>
        <w:t>or have requested extensions thereof (except where the failure to file would not, individually or in the aggregate, reasonably be expected to have a Material Adverse Effect), all tax returns that have been filed have been true and complete in all material respects, and the Company and each of its subsidiaries have paid all taxes required to be paid (except for cases in which the failure to file or pay would not, individually or in the aggregate, reasonably be expected to have a Material Adverse Effect), and no tax deficiency has been determined adversely to the Company or any of its subsidiaries which, individually or in the aggregate, has had (nor does the Company or any of its subsidiaries have any notice or knowledge of any tax deficiency which could reasonably be expected to be determined adversely to the Company or its subsidiaries and which could reasonably be expected to have) a Material Adverse Effect;</w:t>
      </w:r>
    </w:p>
    <w:p>
      <w:pPr>
        <w:spacing w:after="0" w:line="141" w:lineRule="exact"/>
        <w:rPr>
          <w:sz w:val="20"/>
          <w:szCs w:val="20"/>
          <w:color w:val="auto"/>
        </w:rPr>
      </w:pPr>
    </w:p>
    <w:p>
      <w:pPr>
        <w:jc w:val="both"/>
        <w:ind w:firstLine="514"/>
        <w:spacing w:after="0" w:line="259" w:lineRule="auto"/>
        <w:tabs>
          <w:tab w:leader="none" w:pos="1083"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Company and its subsidiaries (i) exclusively own or license or otherwise have adequate rights to use all patents, patent applications, trademarks, service marks, trade names, domain names, copyrights and registrations and applications thereof, licenses, know-how, software, systems and technology (including trade secrets and other unpatented and/or unpatentable proprietary or confidential information, systems or procedures and other intellectual property) (collectively, “Intellectual Property Rights”) necessary for the conduct of their respective businesses as now conducted by them, except as would not reasonably be expected to, individually or in the aggregate, have a Material Adverse Effect, (ii) do not, through the conduct of their respective businesses, infringe, misappropriate, violate or conflict with any such right of others, which infringement, misappropriation, violation or other conflict, individually or in the aggregate, would reasonably be expected to have a Material Adverse Effect on the Company and its subsidiaries, (iii) have not received any written notice of any claim of infringement, misappropriation, violation or conflict with, any such rights of others, which, individually or in the aggregate, if the subject of an unfavorable decision, ruling or finding, would have a Material Adverse Effect on the Company and its subsidiaries, taken as a whole; (iv) to the Company’s knowledge, no third party is infringing, misappropriating or otherwise violating, or has infringed, misappropriated or otherwise violated, any Intellectual Property Rights owned by the Company and its subsidiaries in any material respect; (v) except as would not reasonably be expected to, individually or in the aggregate, have a Material Adverse Effect on the Company and its subsidiaries,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 the Company and its subsidiaries have taken reasonable efforts in accordance with industry standards to maintain the confidentiality of all Intellectual Property Rights of the Company and its subsidiaries deemed by the Company and its subsidiaries to be a trade secret. The Company and its subsidiaries use and have used any and all software and other materials distributed under a “free,” “open source,” or similar licensing model (“Open Source Software”) in compliance with all license terms applicable to such Open Source Software, except where failure to comply would not reasonably be expected to, individually or in the aggregate, have a Material Adverse Effect on the Company and its subsidiaries; and neither the Company nor any of its subsidiaries uses or distributes or has used or distributed any Open Source Software in any manner that requires or has</w:t>
      </w:r>
    </w:p>
    <w:p>
      <w:pPr>
        <w:sectPr>
          <w:pgSz w:w="11900" w:h="16838" w:orient="portrait"/>
          <w:cols w:equalWidth="0" w:num="1">
            <w:col w:w="10780"/>
          </w:cols>
          <w:pgMar w:left="800" w:top="1133" w:right="319" w:bottom="1440" w:gutter="0" w:footer="0" w:header="0"/>
        </w:sectPr>
      </w:pPr>
    </w:p>
    <w:bookmarkStart w:id="48" w:name="page49"/>
    <w:bookmarkEnd w:id="48"/>
    <w:p>
      <w:pPr>
        <w:spacing w:after="0" w:line="265" w:lineRule="auto"/>
        <w:rPr>
          <w:sz w:val="20"/>
          <w:szCs w:val="20"/>
          <w:color w:val="auto"/>
        </w:rPr>
      </w:pPr>
      <w:r>
        <w:rPr>
          <w:rFonts w:ascii="Arial" w:cs="Arial" w:eastAsia="Arial" w:hAnsi="Arial"/>
          <w:sz w:val="15"/>
          <w:szCs w:val="15"/>
          <w:color w:val="auto"/>
        </w:rPr>
        <w:t>required (A) the Company or any of its subsidiaries to permit reverse engineering of any proprietary software code or other technology, in each case, owned by the Company and its subsidiaries or (B) any proprietary software code or other technology, in each case, owned by the Company or its subsidiaries to be</w:t>
      </w:r>
    </w:p>
    <w:p>
      <w:pPr>
        <w:spacing w:after="0" w:line="1" w:lineRule="exact"/>
        <w:rPr>
          <w:sz w:val="20"/>
          <w:szCs w:val="20"/>
          <w:color w:val="auto"/>
        </w:rPr>
      </w:pPr>
    </w:p>
    <w:p>
      <w:pPr>
        <w:jc w:val="both"/>
        <w:ind w:firstLine="9"/>
        <w:spacing w:after="0" w:line="266" w:lineRule="auto"/>
        <w:tabs>
          <w:tab w:leader="none" w:pos="231" w:val="left"/>
        </w:tabs>
        <w:numPr>
          <w:ilvl w:val="0"/>
          <w:numId w:val="33"/>
        </w:numPr>
        <w:rPr>
          <w:rFonts w:ascii="Arial" w:cs="Arial" w:eastAsia="Arial" w:hAnsi="Arial"/>
          <w:sz w:val="15"/>
          <w:szCs w:val="15"/>
          <w:color w:val="auto"/>
        </w:rPr>
      </w:pPr>
      <w:r>
        <w:rPr>
          <w:rFonts w:ascii="Arial" w:cs="Arial" w:eastAsia="Arial" w:hAnsi="Arial"/>
          <w:sz w:val="15"/>
          <w:szCs w:val="15"/>
          <w:color w:val="auto"/>
        </w:rPr>
        <w:t>disclosed or distributed in source code form, (2) licensed for the purpose of making derivative works or (3) redistributed at no charge, except, in the case of each of (A) and (B) above, as would not, individually or in the aggregate reasonably be expected to have a Material Adverse Effect on the Company and its subsidiaries;</w:t>
      </w:r>
    </w:p>
    <w:p>
      <w:pPr>
        <w:spacing w:after="0" w:line="138" w:lineRule="exact"/>
        <w:rPr>
          <w:rFonts w:ascii="Arial" w:cs="Arial" w:eastAsia="Arial" w:hAnsi="Arial"/>
          <w:sz w:val="15"/>
          <w:szCs w:val="15"/>
          <w:color w:val="auto"/>
        </w:rPr>
      </w:pPr>
    </w:p>
    <w:p>
      <w:pPr>
        <w:jc w:val="both"/>
        <w:ind w:firstLine="514"/>
        <w:spacing w:after="0" w:line="260" w:lineRule="auto"/>
        <w:tabs>
          <w:tab w:leader="none" w:pos="1112" w:val="left"/>
        </w:tabs>
        <w:numPr>
          <w:ilvl w:val="1"/>
          <w:numId w:val="33"/>
        </w:numPr>
        <w:rPr>
          <w:rFonts w:ascii="Arial" w:cs="Arial" w:eastAsia="Arial" w:hAnsi="Arial"/>
          <w:sz w:val="15"/>
          <w:szCs w:val="15"/>
          <w:color w:val="auto"/>
        </w:rPr>
      </w:pPr>
      <w:r>
        <w:rPr>
          <w:rFonts w:ascii="Arial" w:cs="Arial" w:eastAsia="Arial" w:hAnsi="Arial"/>
          <w:sz w:val="15"/>
          <w:szCs w:val="15"/>
          <w:color w:val="auto"/>
        </w:rPr>
        <w:t>To the knowledge of the Company, the Company and its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subsidiaries as currently conducted, and to the knowledge of the Company, are free and clear of all bugs, errors, defects, Trojan horses, time bombs, malware and other corruptants in all material respects. Except as would not reasonably be expected to, individually or in the aggregate, have a Material Adverse Effect, the Company and its subsidiaries have implemented and maintained commercially reasonable technical controls, policies, procedures, and safeguards designed to maintain and protect their material confidential information and the integrity, continuous operation, redundancy and security of all IT Systems and data (including all “personal information,” “personal data,” and “personally identifiable information,” as defined under applicable privacy laws (“Personal Data”)) maintained or processed by or for the Company and its subsidiaries, and there have been no breaches, violations, outages, security incidents, or unlawful or unauthorized uses of or accesses to the same (“Security Incident”), except for those that have been remedied without material cost or liability or the duty to notify any other person or governmental authority, nor any incidents under internal review or investigations relating to any Security Incidents; the Company and its subsidiaries comply, and have for the past three years been in compliance, in all material respects with all applicable laws or statutes and all judgments, orders, rules and regulations of any court or arbitrator or governmental or regulatory authority, binding standards, external privacy policies, and contractual obligations relating to the privacy and security of IT Systems and Personal Data, the protection of such IT Systems and Personal Data from Security Incidents, and payment card information processing; the Company and its subsidiaries have not received any written notice, inquiry, request, claim, complaint, or been the subject of any investigation or enforcement action, relating to the same;</w:t>
      </w:r>
    </w:p>
    <w:p>
      <w:pPr>
        <w:spacing w:after="0" w:line="322" w:lineRule="exact"/>
        <w:rPr>
          <w:rFonts w:ascii="Arial" w:cs="Arial" w:eastAsia="Arial" w:hAnsi="Arial"/>
          <w:sz w:val="15"/>
          <w:szCs w:val="15"/>
          <w:color w:val="auto"/>
        </w:rPr>
      </w:pPr>
    </w:p>
    <w:p>
      <w:pPr>
        <w:jc w:val="both"/>
        <w:ind w:firstLine="514"/>
        <w:spacing w:after="0" w:line="283" w:lineRule="auto"/>
        <w:tabs>
          <w:tab w:leader="none" w:pos="1140" w:val="left"/>
        </w:tabs>
        <w:numPr>
          <w:ilvl w:val="1"/>
          <w:numId w:val="33"/>
        </w:numPr>
        <w:rPr>
          <w:rFonts w:ascii="Arial" w:cs="Arial" w:eastAsia="Arial" w:hAnsi="Arial"/>
          <w:sz w:val="15"/>
          <w:szCs w:val="15"/>
          <w:color w:val="auto"/>
        </w:rPr>
      </w:pPr>
      <w:r>
        <w:rPr>
          <w:rFonts w:ascii="Arial" w:cs="Arial" w:eastAsia="Arial" w:hAnsi="Arial"/>
          <w:sz w:val="15"/>
          <w:szCs w:val="15"/>
          <w:color w:val="auto"/>
        </w:rPr>
        <w:t>No forward-looking statement (within the meaning of Section 27A of the Act and Section 21E of the Exchange Act) included in any of the Registration Statement, the Pricing Prospectus or the Prospectus has been made or reaffirmed without a reasonable basis or has been disclosed other than in good faith;</w:t>
      </w:r>
    </w:p>
    <w:p>
      <w:pPr>
        <w:spacing w:after="0" w:line="115" w:lineRule="exact"/>
        <w:rPr>
          <w:rFonts w:ascii="Arial" w:cs="Arial" w:eastAsia="Arial" w:hAnsi="Arial"/>
          <w:sz w:val="15"/>
          <w:szCs w:val="15"/>
          <w:color w:val="auto"/>
        </w:rPr>
      </w:pPr>
    </w:p>
    <w:p>
      <w:pPr>
        <w:jc w:val="both"/>
        <w:ind w:firstLine="514"/>
        <w:spacing w:after="0" w:line="276" w:lineRule="auto"/>
        <w:tabs>
          <w:tab w:leader="none" w:pos="1194" w:val="left"/>
        </w:tabs>
        <w:numPr>
          <w:ilvl w:val="1"/>
          <w:numId w:val="33"/>
        </w:numPr>
        <w:rPr>
          <w:rFonts w:ascii="Arial" w:cs="Arial" w:eastAsia="Arial" w:hAnsi="Arial"/>
          <w:sz w:val="15"/>
          <w:szCs w:val="15"/>
          <w:color w:val="auto"/>
        </w:rPr>
      </w:pPr>
      <w:r>
        <w:rPr>
          <w:rFonts w:ascii="Arial" w:cs="Arial" w:eastAsia="Arial" w:hAnsi="Arial"/>
          <w:sz w:val="15"/>
          <w:szCs w:val="15"/>
          <w:color w:val="auto"/>
        </w:rPr>
        <w:t>Nothing has come to the attention of the Company that has caused the Company to believe that the statistical and market-related data included in each of the Registration Statement, the Pricing Prospectus and the Prospectus is not based on or derived from sources that are reliable and accurate in all material respects;</w:t>
      </w:r>
    </w:p>
    <w:p>
      <w:pPr>
        <w:sectPr>
          <w:pgSz w:w="11900" w:h="16838" w:orient="portrait"/>
          <w:cols w:equalWidth="0" w:num="1">
            <w:col w:w="10780"/>
          </w:cols>
          <w:pgMar w:left="800" w:top="1133" w:right="319" w:bottom="1440" w:gutter="0" w:footer="0" w:header="0"/>
        </w:sectPr>
      </w:pPr>
    </w:p>
    <w:bookmarkStart w:id="49" w:name="page50"/>
    <w:bookmarkEnd w:id="49"/>
    <w:p>
      <w:pPr>
        <w:ind w:left="-514" w:firstLine="514"/>
        <w:spacing w:after="0" w:line="304" w:lineRule="auto"/>
        <w:tabs>
          <w:tab w:leader="none" w:pos="658"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There is and has been no failure on the part of the Company or any of the Company’s directors or officers, in their capacities as such, to comply with any applicable provision of the Sarbanes-Oxley Act, including Section 402 related to loans;</w:t>
      </w:r>
    </w:p>
    <w:p>
      <w:pPr>
        <w:spacing w:after="0" w:line="99" w:lineRule="exact"/>
        <w:rPr>
          <w:rFonts w:ascii="Arial" w:cs="Arial" w:eastAsia="Arial" w:hAnsi="Arial"/>
          <w:sz w:val="15"/>
          <w:szCs w:val="15"/>
          <w:color w:val="auto"/>
        </w:rPr>
      </w:pPr>
    </w:p>
    <w:p>
      <w:pPr>
        <w:jc w:val="both"/>
        <w:ind w:left="-514" w:firstLine="514"/>
        <w:spacing w:after="0" w:line="276" w:lineRule="auto"/>
        <w:tabs>
          <w:tab w:leader="none" w:pos="661" w:val="left"/>
        </w:tabs>
        <w:numPr>
          <w:ilvl w:val="0"/>
          <w:numId w:val="34"/>
        </w:numPr>
        <w:rPr>
          <w:rFonts w:ascii="Arial" w:cs="Arial" w:eastAsia="Arial" w:hAnsi="Arial"/>
          <w:sz w:val="15"/>
          <w:szCs w:val="15"/>
          <w:color w:val="auto"/>
        </w:rPr>
      </w:pPr>
      <w:r>
        <w:rPr>
          <w:rFonts w:ascii="Arial" w:cs="Arial" w:eastAsia="Arial" w:hAnsi="Arial"/>
          <w:sz w:val="15"/>
          <w:szCs w:val="15"/>
          <w:color w:val="auto"/>
        </w:rPr>
        <w:t>Neither the Company nor any of its controlled affiliates has taken or will take, directly or indirectly, any action designed to or that could reasonably be expected to cause or result in the stabilization or manipulation of the price of any security of the Company or any of its subsidiaries in connection with the offering of the Shares;</w:t>
      </w:r>
    </w:p>
    <w:p>
      <w:pPr>
        <w:spacing w:after="0" w:line="130" w:lineRule="exact"/>
        <w:rPr>
          <w:rFonts w:ascii="Arial" w:cs="Arial" w:eastAsia="Arial" w:hAnsi="Arial"/>
          <w:sz w:val="15"/>
          <w:szCs w:val="15"/>
          <w:color w:val="auto"/>
        </w:rPr>
      </w:pPr>
    </w:p>
    <w:p>
      <w:pPr>
        <w:jc w:val="both"/>
        <w:ind w:left="-514" w:firstLine="514"/>
        <w:spacing w:after="0" w:line="265" w:lineRule="auto"/>
        <w:tabs>
          <w:tab w:leader="none" w:pos="701"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Company and each of its subsidiaries have such permits, licenses, approvals, consents, franchises, certificates of need and other approvals or authorizations of governmental or regulatory authorities (“Permits”) as are necessary under applicable law to own their respective properties and conduct their respective businesses in the manner described in the Registration Statement, the Pricing Prospectus and the Prospectus, except for any of the foregoing that would not, individually or in the aggregate, reasonably be expected to have a Material Adverse Effect. Neither the Company nor any of its subsidiaries has received written notice of any proceedings related to the revocation or modification of any such Permits that, individually or in the aggregate, if the subject of an unfavorable decision, ruling or finding, would reasonably be expected to have a Material Adverse Effect;</w:t>
      </w:r>
    </w:p>
    <w:p>
      <w:pPr>
        <w:spacing w:after="0" w:line="140" w:lineRule="exact"/>
        <w:rPr>
          <w:rFonts w:ascii="Arial" w:cs="Arial" w:eastAsia="Arial" w:hAnsi="Arial"/>
          <w:sz w:val="15"/>
          <w:szCs w:val="15"/>
          <w:color w:val="auto"/>
        </w:rPr>
      </w:pPr>
    </w:p>
    <w:p>
      <w:pPr>
        <w:ind w:left="-514" w:firstLine="514"/>
        <w:spacing w:after="0" w:line="289" w:lineRule="auto"/>
        <w:tabs>
          <w:tab w:leader="none" w:pos="75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Company and its subsidiaries, taken as a whole, are insured against such losses and risks and in such amounts as are, in the Company’s reasonable judgment, prudent and customary in the businesses in which they are engaged and as required by law;</w:t>
      </w:r>
    </w:p>
    <w:p>
      <w:pPr>
        <w:spacing w:after="0" w:line="121" w:lineRule="exact"/>
        <w:rPr>
          <w:rFonts w:ascii="Arial" w:cs="Arial" w:eastAsia="Arial" w:hAnsi="Arial"/>
          <w:sz w:val="15"/>
          <w:szCs w:val="15"/>
          <w:color w:val="auto"/>
        </w:rPr>
      </w:pPr>
    </w:p>
    <w:p>
      <w:pPr>
        <w:jc w:val="both"/>
        <w:ind w:left="-514" w:firstLine="514"/>
        <w:spacing w:after="0" w:line="260" w:lineRule="auto"/>
        <w:tabs>
          <w:tab w:leader="none" w:pos="696" w:val="left"/>
        </w:tabs>
        <w:numPr>
          <w:ilvl w:val="0"/>
          <w:numId w:val="34"/>
        </w:numPr>
        <w:rPr>
          <w:rFonts w:ascii="Arial" w:cs="Arial" w:eastAsia="Arial" w:hAnsi="Arial"/>
          <w:sz w:val="15"/>
          <w:szCs w:val="15"/>
          <w:color w:val="auto"/>
        </w:rPr>
      </w:pPr>
      <w:r>
        <w:rPr>
          <w:rFonts w:ascii="Arial" w:cs="Arial" w:eastAsia="Arial" w:hAnsi="Arial"/>
          <w:sz w:val="15"/>
          <w:szCs w:val="15"/>
          <w:color w:val="auto"/>
        </w:rPr>
        <w:t>(A) Each Plan (as defined below) has been sponsored, maintained, and contributed to in compliance with its terms and the requirements of any applicable statutes, orders, rules and regulations, including but not limited to the Employee Retirement Income Security Act of 1974, as amended (“ERISA”) and the Internal Revenue Code of 1986, as amended (the “Code”), except for noncompliance that would not reasonably be expected to have a Material Adverse Effect; (B) no non-exempt prohibited transaction, within the meaning of Section 406 of ERISA or Section 4975 of the Code, has occurred with respect to any Plan, excluding transactions effected pursuant to a statutory or administrative exemption; (C) for each Plan that is subject to the funding rules of Section 412 of the Code or Section 302 of ERISA, no failure to satisfy the minimum funding standards (within the meaning of Section 412 of the Code or Section 302 of ERISA), whether or not waived, has occurred or is reasonably expected to occur; (D) no “reportable event” (within the meaning of Section 4043(c) of ERISA, other than those events as to which notice is waived) has occurred or is reasonably expected to occur that either has, or would reasonably be expected to have, individually or in the aggregate, a Material Adverse Effect; (E) neither the Company nor any member of its “Controlled Group” (defined as any organization which is a member of a controlled group of corporations within the meaning of Section 414 of the Code) has incurred, nor is reasonably expected to incur, any material liability under Title IV of ERISA (other than contributions to any Plan or any Multiemployer Plan (as defined below) or premiums to the Pension Benefit Guaranty Corporation, in the ordinary course and without default) in respect of a Plan or a Multiemployer Plan; and (F) there is no pending audit or investigation by the U.S. Internal Revenue Service, the U.S. Department of Labor, the</w:t>
      </w:r>
    </w:p>
    <w:p>
      <w:pPr>
        <w:sectPr>
          <w:pgSz w:w="11900" w:h="16838" w:orient="portrait"/>
          <w:cols w:equalWidth="0" w:num="1">
            <w:col w:w="10266"/>
          </w:cols>
          <w:pgMar w:left="1314" w:top="1133" w:right="319" w:bottom="1440" w:gutter="0" w:footer="0" w:header="0"/>
        </w:sectPr>
      </w:pPr>
    </w:p>
    <w:bookmarkStart w:id="50" w:name="page51"/>
    <w:bookmarkEnd w:id="50"/>
    <w:p>
      <w:pPr>
        <w:jc w:val="both"/>
        <w:spacing w:after="0" w:line="261" w:lineRule="auto"/>
        <w:rPr>
          <w:sz w:val="20"/>
          <w:szCs w:val="20"/>
          <w:color w:val="auto"/>
        </w:rPr>
      </w:pPr>
      <w:r>
        <w:rPr>
          <w:rFonts w:ascii="Arial" w:cs="Arial" w:eastAsia="Arial" w:hAnsi="Arial"/>
          <w:sz w:val="15"/>
          <w:szCs w:val="15"/>
          <w:color w:val="auto"/>
        </w:rPr>
        <w:t>Pension Benefit Guaranty Corporation or any other governmental agency or any foreign regulatory agency with respect to any Plan that, individually or in the aggregate, would have a Material Adverse Effect. None of the following events has occurred or is reasonably likely to occur: (x) a material increase in the aggregate amount of contributions required to be made to all Plans by the Company or its subsidiaries in the current fiscal year of the Company and its subsidiaries compared to the amount of such contributions made in the Company and its subsidiaries’ most recently completed fiscal year; or (y) a material increase in the Company and its subsidiaries’ “accumulated post-retirement benefit obligations” (within the meaning of FASB Accounting Standards Codification Topic 715) compared to the amount of such obligations in the Company and its subsidiaries’ most recently completed fiscal year. For purposes of this paragraph, (x) the term “Plan” means an employee benefit plan, within the meaning of Section 3(3) of ERISA, subject to Title IV of ERISA, but excluding any Multiemployer Plan, for which the Company or any member of its “Controlled Group” (defined as any organization which is a member of a controlled group of corporations within the meaning of Section 414(b), (c), (m) or (o) of the Code) has any liability and (y) the term “Multiemployer Plan” means a multiemployer plan within the meaning of Section 4001(a)(3) of ERISA;</w:t>
      </w:r>
    </w:p>
    <w:p>
      <w:pPr>
        <w:spacing w:after="0" w:line="144" w:lineRule="exact"/>
        <w:rPr>
          <w:sz w:val="20"/>
          <w:szCs w:val="20"/>
          <w:color w:val="auto"/>
        </w:rPr>
      </w:pPr>
    </w:p>
    <w:p>
      <w:pPr>
        <w:jc w:val="both"/>
        <w:ind w:firstLine="514"/>
        <w:spacing w:after="0" w:line="272" w:lineRule="auto"/>
        <w:tabs>
          <w:tab w:leader="none" w:pos="1155" w:val="left"/>
        </w:tabs>
        <w:numPr>
          <w:ilvl w:val="0"/>
          <w:numId w:val="35"/>
        </w:numPr>
        <w:rPr>
          <w:rFonts w:ascii="Arial" w:cs="Arial" w:eastAsia="Arial" w:hAnsi="Arial"/>
          <w:sz w:val="15"/>
          <w:szCs w:val="15"/>
          <w:color w:val="auto"/>
        </w:rPr>
      </w:pPr>
      <w:r>
        <w:rPr>
          <w:rFonts w:ascii="Arial" w:cs="Arial" w:eastAsia="Arial" w:hAnsi="Arial"/>
          <w:sz w:val="15"/>
          <w:szCs w:val="15"/>
          <w:color w:val="auto"/>
        </w:rPr>
        <w:t>No material labor dispute with or disturbance by the employees of the Company or any of its subsidiaries exists or, to the knowledge of the Company, is threatened, and neither the Company nor any of its subsidiaries has received written notice of any pending or threatened activities or proceedings by any labor union or similar entity to organize any employees of the Company or its subsidiaries that, individually or in the aggregate, could reasonably be expected to have a Material Adverse Effect;</w:t>
      </w:r>
    </w:p>
    <w:p>
      <w:pPr>
        <w:spacing w:after="0" w:line="123" w:lineRule="exact"/>
        <w:rPr>
          <w:sz w:val="20"/>
          <w:szCs w:val="20"/>
          <w:color w:val="auto"/>
        </w:rPr>
      </w:pPr>
    </w:p>
    <w:p>
      <w:pPr>
        <w:jc w:val="both"/>
        <w:ind w:firstLine="505"/>
        <w:spacing w:after="0" w:line="263" w:lineRule="auto"/>
        <w:rPr>
          <w:sz w:val="20"/>
          <w:szCs w:val="20"/>
          <w:color w:val="auto"/>
        </w:rPr>
      </w:pPr>
      <w:r>
        <w:rPr>
          <w:rFonts w:ascii="Arial" w:cs="Arial" w:eastAsia="Arial" w:hAnsi="Arial"/>
          <w:sz w:val="15"/>
          <w:szCs w:val="15"/>
          <w:color w:val="auto"/>
        </w:rPr>
        <w:t>(xl) The Company and its subsidiaries (x) are in compliance in all material respects with all, and have not 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in all material respects with all, and have not violated any applicable permits, licenses, certificates or other authorizations or approval required of them under any Environmental Laws to conduct their respective businesses; and (z) have not received written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except where any non-compliance with Environmental Laws, or where any claim, notice, proceeding, investigation, failure to receive required permits, licenses or other approvals or failure to comply with the terms and conditions of such permits, licenses or approvals would not individually or in the aggregate, reasonably be expected to have a Material Adverse Effect;</w:t>
      </w:r>
    </w:p>
    <w:p>
      <w:pPr>
        <w:spacing w:after="0" w:line="130" w:lineRule="exact"/>
        <w:rPr>
          <w:sz w:val="20"/>
          <w:szCs w:val="20"/>
          <w:color w:val="auto"/>
        </w:rPr>
      </w:pPr>
    </w:p>
    <w:p>
      <w:pPr>
        <w:jc w:val="both"/>
        <w:ind w:firstLine="505"/>
        <w:spacing w:after="0" w:line="304" w:lineRule="auto"/>
        <w:rPr>
          <w:sz w:val="20"/>
          <w:szCs w:val="20"/>
          <w:color w:val="auto"/>
        </w:rPr>
      </w:pPr>
      <w:r>
        <w:rPr>
          <w:rFonts w:ascii="Arial" w:cs="Arial" w:eastAsia="Arial" w:hAnsi="Arial"/>
          <w:sz w:val="15"/>
          <w:szCs w:val="15"/>
          <w:color w:val="auto"/>
        </w:rPr>
        <w:t>(xli) Except as described in the Pricing Prospectus and the Prospectus, there are no contracts, agreements or understandings between the Company and any person that would give rise to a valid claim against the Company or any Underwriter for a</w:t>
      </w:r>
    </w:p>
    <w:p>
      <w:pPr>
        <w:sectPr>
          <w:pgSz w:w="11900" w:h="16838" w:orient="portrait"/>
          <w:cols w:equalWidth="0" w:num="1">
            <w:col w:w="10780"/>
          </w:cols>
          <w:pgMar w:left="800" w:top="1133" w:right="319" w:bottom="1440" w:gutter="0" w:footer="0" w:header="0"/>
        </w:sectPr>
      </w:pPr>
    </w:p>
    <w:bookmarkStart w:id="51" w:name="page52"/>
    <w:bookmarkEnd w:id="51"/>
    <w:p>
      <w:pPr>
        <w:spacing w:after="0"/>
        <w:rPr>
          <w:sz w:val="20"/>
          <w:szCs w:val="20"/>
          <w:color w:val="auto"/>
        </w:rPr>
      </w:pPr>
      <w:r>
        <w:rPr>
          <w:rFonts w:ascii="Arial" w:cs="Arial" w:eastAsia="Arial" w:hAnsi="Arial"/>
          <w:sz w:val="15"/>
          <w:szCs w:val="15"/>
          <w:color w:val="auto"/>
        </w:rPr>
        <w:t>brokerage commission, finder’s fee or other similar payment in connection with this offering of the Shares;</w:t>
      </w:r>
    </w:p>
    <w:p>
      <w:pPr>
        <w:spacing w:after="0" w:line="185" w:lineRule="exact"/>
        <w:rPr>
          <w:sz w:val="20"/>
          <w:szCs w:val="20"/>
          <w:color w:val="auto"/>
        </w:rPr>
      </w:pPr>
    </w:p>
    <w:p>
      <w:pPr>
        <w:ind w:firstLine="505"/>
        <w:spacing w:after="0" w:line="289" w:lineRule="auto"/>
        <w:rPr>
          <w:sz w:val="20"/>
          <w:szCs w:val="20"/>
          <w:color w:val="auto"/>
        </w:rPr>
      </w:pPr>
      <w:r>
        <w:rPr>
          <w:rFonts w:ascii="Arial" w:cs="Arial" w:eastAsia="Arial" w:hAnsi="Arial"/>
          <w:sz w:val="15"/>
          <w:szCs w:val="15"/>
          <w:color w:val="auto"/>
        </w:rPr>
        <w:t>(xlii) There are no debt securities or preferred stock issued, or guaranteed, by the Company that are rated by a “nationally recognized statistical rating organization,” as such term is defined in Section 3(a)(62) of the Exchange Act;</w:t>
      </w:r>
    </w:p>
    <w:p>
      <w:pPr>
        <w:spacing w:after="0" w:line="121" w:lineRule="exact"/>
        <w:rPr>
          <w:sz w:val="20"/>
          <w:szCs w:val="20"/>
          <w:color w:val="auto"/>
        </w:rPr>
      </w:pPr>
    </w:p>
    <w:p>
      <w:pPr>
        <w:ind w:left="360" w:hanging="351"/>
        <w:spacing w:after="0"/>
        <w:tabs>
          <w:tab w:leader="none" w:pos="3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Selling Stockholder represents and warrants to, and agrees with, each of the Underwriters and the Company that:</w:t>
      </w:r>
    </w:p>
    <w:p>
      <w:pPr>
        <w:spacing w:after="0" w:line="90" w:lineRule="exact"/>
        <w:rPr>
          <w:rFonts w:ascii="Arial" w:cs="Arial" w:eastAsia="Arial" w:hAnsi="Arial"/>
          <w:sz w:val="15"/>
          <w:szCs w:val="15"/>
          <w:color w:val="auto"/>
        </w:rPr>
      </w:pPr>
    </w:p>
    <w:p>
      <w:pPr>
        <w:jc w:val="both"/>
        <w:ind w:firstLine="514"/>
        <w:spacing w:after="0" w:line="265" w:lineRule="auto"/>
        <w:tabs>
          <w:tab w:leader="none" w:pos="822" w:val="left"/>
        </w:tabs>
        <w:numPr>
          <w:ilvl w:val="1"/>
          <w:numId w:val="36"/>
        </w:numPr>
        <w:rPr>
          <w:rFonts w:ascii="Arial" w:cs="Arial" w:eastAsia="Arial" w:hAnsi="Arial"/>
          <w:sz w:val="15"/>
          <w:szCs w:val="15"/>
          <w:color w:val="auto"/>
        </w:rPr>
      </w:pPr>
      <w:r>
        <w:rPr>
          <w:rFonts w:ascii="Arial" w:cs="Arial" w:eastAsia="Arial" w:hAnsi="Arial"/>
          <w:sz w:val="15"/>
          <w:szCs w:val="15"/>
          <w:color w:val="auto"/>
        </w:rPr>
        <w:t>All consents, approvals, authorizations and orders necessary for the execution and delivery by the Selling Stockholder of this Agreement, and for the sale and delivery of the Shares to be sold by the Selling Stockholder hereunder, have been obtained, except for those obtained under the Act and such consents, approvals, authorizations, registrations, qualifications and orders as may be required under state securities or Blue Sky laws, the rules and regulations of FINRA, the approval for listing on the Exchange or such consents, approvals, authorizations, registrations, qualifications and orders that have been or will be made or obtained prior to the First Time of Delivery; and the Selling Stockholder has full right, power and authority to enter into this Agreement and to sell, assign, transfer and deliver the Shares to be sold by the Selling Stockholder hereunder;</w:t>
      </w:r>
    </w:p>
    <w:p>
      <w:pPr>
        <w:spacing w:after="0" w:line="56" w:lineRule="exact"/>
        <w:rPr>
          <w:rFonts w:ascii="Arial" w:cs="Arial" w:eastAsia="Arial" w:hAnsi="Arial"/>
          <w:sz w:val="15"/>
          <w:szCs w:val="15"/>
          <w:color w:val="auto"/>
        </w:rPr>
      </w:pPr>
    </w:p>
    <w:p>
      <w:pPr>
        <w:jc w:val="both"/>
        <w:ind w:firstLine="514"/>
        <w:spacing w:after="0" w:line="263" w:lineRule="auto"/>
        <w:tabs>
          <w:tab w:leader="none" w:pos="873" w:val="left"/>
        </w:tabs>
        <w:numPr>
          <w:ilvl w:val="1"/>
          <w:numId w:val="36"/>
        </w:numPr>
        <w:rPr>
          <w:rFonts w:ascii="Arial" w:cs="Arial" w:eastAsia="Arial" w:hAnsi="Arial"/>
          <w:sz w:val="15"/>
          <w:szCs w:val="15"/>
          <w:color w:val="auto"/>
        </w:rPr>
      </w:pPr>
      <w:r>
        <w:rPr>
          <w:rFonts w:ascii="Arial" w:cs="Arial" w:eastAsia="Arial" w:hAnsi="Arial"/>
          <w:sz w:val="15"/>
          <w:szCs w:val="15"/>
          <w:color w:val="auto"/>
        </w:rPr>
        <w:t>The sale of the Shares to be sold by the Selling Stockholder hereunder and the compliance by the Selling Stockholder with this Agreement and the consummation of the transactions herein and therein contemplated will not (A) conflict with or result in a breach or violation of any of the terms or provisions of, or constitute a default under, any statute, indenture, mortgage, deed of trust, loan agreement, lease or other agreement or instrument to which the Selling Stockholder is a party or by which the Selling Stockholder is bound or to which any of the property or assets of the Selling Stockholder is subject, nor will such action (B) result in any violation of (i) the organizational documents of the Selling Stockholder or (ii) any statute or any judgment, order, rule or regulation of any court or governmental agency or body having jurisdiction over the Selling Stockholder or any of its subsidiaries or any property or assets of the Selling Stockholder, except, in the case of clauses (A) or (B)(ii), as would not, individually or in the aggregate, affect the validity of the Shares to be sold by the Selling Stockholder or reasonably be expected to materially adversely affect the ability of the Selling Stockholder to consummate the transactions contemplated by this Agreement;</w:t>
      </w:r>
    </w:p>
    <w:p>
      <w:pPr>
        <w:spacing w:after="0" w:line="45" w:lineRule="exact"/>
        <w:rPr>
          <w:rFonts w:ascii="Arial" w:cs="Arial" w:eastAsia="Arial" w:hAnsi="Arial"/>
          <w:sz w:val="15"/>
          <w:szCs w:val="15"/>
          <w:color w:val="auto"/>
        </w:rPr>
      </w:pPr>
    </w:p>
    <w:p>
      <w:pPr>
        <w:jc w:val="both"/>
        <w:ind w:firstLine="514"/>
        <w:spacing w:after="0" w:line="270" w:lineRule="auto"/>
        <w:tabs>
          <w:tab w:leader="none" w:pos="915" w:val="left"/>
        </w:tabs>
        <w:numPr>
          <w:ilvl w:val="1"/>
          <w:numId w:val="36"/>
        </w:numPr>
        <w:rPr>
          <w:rFonts w:ascii="Arial" w:cs="Arial" w:eastAsia="Arial" w:hAnsi="Arial"/>
          <w:sz w:val="15"/>
          <w:szCs w:val="15"/>
          <w:color w:val="auto"/>
        </w:rPr>
      </w:pPr>
      <w:r>
        <w:rPr>
          <w:rFonts w:ascii="Arial" w:cs="Arial" w:eastAsia="Arial" w:hAnsi="Arial"/>
          <w:sz w:val="15"/>
          <w:szCs w:val="15"/>
          <w:color w:val="auto"/>
        </w:rPr>
        <w:t>The Selling Stockholder has, and immediately prior to each Time of Delivery (as defined in Section 4 hereof) the Selling Stockholder will have, good and valid title to, or a valid “security entitlement” within the meaning of Section 8-501 of the New York Uniform Commercial Code in respect of, the Shares to be sold by the Selling Stockholder hereunder at such Time of Delivery, free and clear of all liens, encumbrances, equities or claims; and, upon delivery of such Shares and payment therefor pursuant hereto, good and valid title to such Shares, free and clear of all liens, encumbrances, equities or claims, will pass to the several Underwriters;</w:t>
      </w:r>
    </w:p>
    <w:p>
      <w:pPr>
        <w:spacing w:after="0" w:line="39" w:lineRule="exact"/>
        <w:rPr>
          <w:rFonts w:ascii="Arial" w:cs="Arial" w:eastAsia="Arial" w:hAnsi="Arial"/>
          <w:sz w:val="15"/>
          <w:szCs w:val="15"/>
          <w:color w:val="auto"/>
        </w:rPr>
      </w:pPr>
    </w:p>
    <w:p>
      <w:pPr>
        <w:ind w:firstLine="514"/>
        <w:spacing w:after="0" w:line="304" w:lineRule="auto"/>
        <w:tabs>
          <w:tab w:leader="none" w:pos="1000" w:val="left"/>
        </w:tabs>
        <w:numPr>
          <w:ilvl w:val="1"/>
          <w:numId w:val="36"/>
        </w:numPr>
        <w:rPr>
          <w:rFonts w:ascii="Arial" w:cs="Arial" w:eastAsia="Arial" w:hAnsi="Arial"/>
          <w:sz w:val="15"/>
          <w:szCs w:val="15"/>
          <w:color w:val="auto"/>
        </w:rPr>
      </w:pPr>
      <w:r>
        <w:rPr>
          <w:rFonts w:ascii="Arial" w:cs="Arial" w:eastAsia="Arial" w:hAnsi="Arial"/>
          <w:sz w:val="15"/>
          <w:szCs w:val="15"/>
          <w:color w:val="auto"/>
        </w:rPr>
        <w:t>On or prior to the date of the Pricing Prospectus, the Selling Stockholder has executed and delivered to the Underwriters an agreement substantially in the form of Annex I hereto.</w:t>
      </w:r>
    </w:p>
    <w:p>
      <w:pPr>
        <w:sectPr>
          <w:pgSz w:w="11900" w:h="16838" w:orient="portrait"/>
          <w:cols w:equalWidth="0" w:num="1">
            <w:col w:w="10780"/>
          </w:cols>
          <w:pgMar w:left="800" w:top="1133" w:right="319" w:bottom="1440" w:gutter="0" w:footer="0" w:header="0"/>
        </w:sectPr>
      </w:pPr>
    </w:p>
    <w:bookmarkStart w:id="52" w:name="page53"/>
    <w:bookmarkEnd w:id="52"/>
    <w:p>
      <w:pPr>
        <w:jc w:val="both"/>
        <w:ind w:left="-9" w:firstLine="514"/>
        <w:spacing w:after="0" w:line="288" w:lineRule="auto"/>
        <w:tabs>
          <w:tab w:leader="none" w:pos="921" w:val="left"/>
        </w:tabs>
        <w:numPr>
          <w:ilvl w:val="1"/>
          <w:numId w:val="37"/>
        </w:numPr>
        <w:rPr>
          <w:rFonts w:ascii="Arial" w:cs="Arial" w:eastAsia="Arial" w:hAnsi="Arial"/>
          <w:sz w:val="15"/>
          <w:szCs w:val="15"/>
          <w:color w:val="auto"/>
        </w:rPr>
      </w:pPr>
      <w:r>
        <w:rPr>
          <w:rFonts w:ascii="Arial" w:cs="Arial" w:eastAsia="Arial" w:hAnsi="Arial"/>
          <w:sz w:val="15"/>
          <w:szCs w:val="15"/>
          <w:color w:val="auto"/>
        </w:rPr>
        <w:t>The Selling Stockholder has not taken and will not take, directly or indirectly, any action that is designed to or that has constituted or might reasonably be expected to cause or result in stabilization or manipulation of the price of any security of the Company to facilitate the sale or resale of the Shares;</w:t>
      </w:r>
    </w:p>
    <w:p>
      <w:pPr>
        <w:spacing w:after="0" w:line="227" w:lineRule="exact"/>
        <w:rPr>
          <w:rFonts w:ascii="Arial" w:cs="Arial" w:eastAsia="Arial" w:hAnsi="Arial"/>
          <w:sz w:val="15"/>
          <w:szCs w:val="15"/>
          <w:color w:val="auto"/>
        </w:rPr>
      </w:pPr>
    </w:p>
    <w:p>
      <w:pPr>
        <w:jc w:val="both"/>
        <w:ind w:left="-9" w:firstLine="514"/>
        <w:spacing w:after="0" w:line="261" w:lineRule="auto"/>
        <w:tabs>
          <w:tab w:leader="none" w:pos="990" w:val="left"/>
        </w:tabs>
        <w:numPr>
          <w:ilvl w:val="1"/>
          <w:numId w:val="37"/>
        </w:numPr>
        <w:rPr>
          <w:rFonts w:ascii="Arial" w:cs="Arial" w:eastAsia="Arial" w:hAnsi="Arial"/>
          <w:sz w:val="15"/>
          <w:szCs w:val="15"/>
          <w:color w:val="auto"/>
        </w:rPr>
      </w:pPr>
      <w:r>
        <w:rPr>
          <w:rFonts w:ascii="Arial" w:cs="Arial" w:eastAsia="Arial" w:hAnsi="Arial"/>
          <w:sz w:val="15"/>
          <w:szCs w:val="15"/>
          <w:color w:val="auto"/>
        </w:rPr>
        <w:t>The Registration Statement and Preliminary Prospectus did not, and the Prospectus and any further amendments or supplements to the Registration Statement and the Prospectus will not, when they become effective or are filed with the Commission, as the case may be, contain any untrue statement of a material fact or omit to state any material fact required to be stated therein or necessary to make the statements therein, in the case of the Registration Statement (and any amendments and supplements thereto) only, not misleading and, in the case of such other documents, not misleading in light of the circumstances under which such statements were made; provided, that such Selling Stockholder representation shall only apply to any untrue statement of a material fact or omission to state a material fact made in reliance upon and in conformity with any information relating to the Selling Stockholder furnished to the Company in writing by the Selling Stockholder expressly for use in such documents, it being understood and agreed that the only information furnished by the Selling Stockholder to the Company consists of (i) the legal name of the Selling Stockholder and (ii) the address and other information with respect to the Selling Stockholder (excluding percentages) which appears in the Registration Statement, the Pricing Disclosure Package and the Pricing Prospectus in the table (and corresponding footnote) under the caption “Selling Stockholder” (the “Selling Stockholder Information”);</w:t>
      </w:r>
    </w:p>
    <w:p>
      <w:pPr>
        <w:spacing w:after="0" w:line="60" w:lineRule="exact"/>
        <w:rPr>
          <w:rFonts w:ascii="Arial" w:cs="Arial" w:eastAsia="Arial" w:hAnsi="Arial"/>
          <w:sz w:val="15"/>
          <w:szCs w:val="15"/>
          <w:color w:val="auto"/>
        </w:rPr>
      </w:pPr>
    </w:p>
    <w:p>
      <w:pPr>
        <w:jc w:val="both"/>
        <w:ind w:left="-9" w:firstLine="514"/>
        <w:spacing w:after="0" w:line="276" w:lineRule="auto"/>
        <w:tabs>
          <w:tab w:leader="none" w:pos="950" w:val="left"/>
        </w:tabs>
        <w:numPr>
          <w:ilvl w:val="1"/>
          <w:numId w:val="37"/>
        </w:numPr>
        <w:rPr>
          <w:rFonts w:ascii="Arial" w:cs="Arial" w:eastAsia="Arial" w:hAnsi="Arial"/>
          <w:sz w:val="15"/>
          <w:szCs w:val="15"/>
          <w:color w:val="auto"/>
        </w:rPr>
      </w:pPr>
      <w:r>
        <w:rPr>
          <w:rFonts w:ascii="Arial" w:cs="Arial" w:eastAsia="Arial" w:hAnsi="Arial"/>
          <w:sz w:val="15"/>
          <w:szCs w:val="15"/>
          <w:color w:val="auto"/>
        </w:rPr>
        <w:t>The Selling Stockholder will deliver to the Representatives prior to or at the First Time of Delivery a properly completed and executed Internal Revenue Service (“IRS”) Form W-9 or an appropriate IRS Form W-8, as applicable, together with all required attachments to such form, establishing a complete exemption from U.S. backup withholding tax and any withholding imposed under Chapter 3 or Chapter 4 of the Code;</w:t>
      </w:r>
    </w:p>
    <w:p>
      <w:pPr>
        <w:spacing w:after="0" w:line="46" w:lineRule="exact"/>
        <w:rPr>
          <w:rFonts w:ascii="Arial" w:cs="Arial" w:eastAsia="Arial" w:hAnsi="Arial"/>
          <w:sz w:val="15"/>
          <w:szCs w:val="15"/>
          <w:color w:val="auto"/>
        </w:rPr>
      </w:pPr>
    </w:p>
    <w:p>
      <w:pPr>
        <w:jc w:val="both"/>
        <w:ind w:left="-9" w:firstLine="514"/>
        <w:spacing w:after="0" w:line="262" w:lineRule="auto"/>
        <w:tabs>
          <w:tab w:leader="none" w:pos="978" w:val="left"/>
        </w:tabs>
        <w:numPr>
          <w:ilvl w:val="1"/>
          <w:numId w:val="37"/>
        </w:numPr>
        <w:rPr>
          <w:rFonts w:ascii="Arial" w:cs="Arial" w:eastAsia="Arial" w:hAnsi="Arial"/>
          <w:sz w:val="15"/>
          <w:szCs w:val="15"/>
          <w:color w:val="auto"/>
        </w:rPr>
      </w:pPr>
      <w:r>
        <w:rPr>
          <w:rFonts w:ascii="Arial" w:cs="Arial" w:eastAsia="Arial" w:hAnsi="Arial"/>
          <w:sz w:val="15"/>
          <w:szCs w:val="15"/>
          <w:color w:val="auto"/>
        </w:rPr>
        <w:t>The Selling Stockholder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in any other manner that will result in a violation by any person (including any person participating in the transaction, whether as underwriter, advisor, investor or otherwise) of Sanctions, or (ii) in furtherance of an offer, payment, promise to pay, or authorization of the payment or giving of money, or anything else of value, to any person in violation of any applicable Anti-Money Laundering Laws or any Anti-Corruption Laws; and</w:t>
      </w:r>
    </w:p>
    <w:p>
      <w:pPr>
        <w:spacing w:after="0" w:line="59" w:lineRule="exact"/>
        <w:rPr>
          <w:rFonts w:ascii="Arial" w:cs="Arial" w:eastAsia="Arial" w:hAnsi="Arial"/>
          <w:sz w:val="15"/>
          <w:szCs w:val="15"/>
          <w:color w:val="auto"/>
        </w:rPr>
      </w:pPr>
    </w:p>
    <w:p>
      <w:pPr>
        <w:ind w:left="511" w:hanging="6"/>
        <w:spacing w:after="0" w:line="304" w:lineRule="auto"/>
        <w:tabs>
          <w:tab w:leader="none" w:pos="931" w:val="left"/>
        </w:tabs>
        <w:numPr>
          <w:ilvl w:val="1"/>
          <w:numId w:val="37"/>
        </w:numPr>
        <w:rPr>
          <w:rFonts w:ascii="Arial" w:cs="Arial" w:eastAsia="Arial" w:hAnsi="Arial"/>
          <w:sz w:val="15"/>
          <w:szCs w:val="15"/>
          <w:color w:val="auto"/>
        </w:rPr>
      </w:pPr>
      <w:r>
        <w:rPr>
          <w:rFonts w:ascii="Arial" w:cs="Arial" w:eastAsia="Arial" w:hAnsi="Arial"/>
          <w:sz w:val="15"/>
          <w:szCs w:val="15"/>
          <w:color w:val="auto"/>
        </w:rPr>
        <w:t>The Selling Stockholder is not prompted by any material information concerning the Company or any of its subsidiaries that is not disclosed in the Pricing Prospectus to sell its Shares pursuant to this Agreement.</w:t>
      </w:r>
    </w:p>
    <w:p>
      <w:pPr>
        <w:spacing w:after="0" w:line="89" w:lineRule="exact"/>
        <w:rPr>
          <w:rFonts w:ascii="Arial" w:cs="Arial" w:eastAsia="Arial" w:hAnsi="Arial"/>
          <w:sz w:val="15"/>
          <w:szCs w:val="15"/>
          <w:color w:val="auto"/>
        </w:rPr>
      </w:pPr>
    </w:p>
    <w:p>
      <w:pPr>
        <w:jc w:val="both"/>
        <w:ind w:left="-509" w:firstLine="509"/>
        <w:spacing w:after="0" w:line="272" w:lineRule="auto"/>
        <w:tabs>
          <w:tab w:leader="none" w:pos="321" w:val="left"/>
        </w:tabs>
        <w:numPr>
          <w:ilvl w:val="0"/>
          <w:numId w:val="38"/>
        </w:numPr>
        <w:rPr>
          <w:rFonts w:ascii="Arial" w:cs="Arial" w:eastAsia="Arial" w:hAnsi="Arial"/>
          <w:sz w:val="15"/>
          <w:szCs w:val="15"/>
          <w:color w:val="auto"/>
        </w:rPr>
      </w:pPr>
      <w:r>
        <w:rPr>
          <w:rFonts w:ascii="Arial" w:cs="Arial" w:eastAsia="Arial" w:hAnsi="Arial"/>
          <w:sz w:val="15"/>
          <w:szCs w:val="15"/>
          <w:color w:val="auto"/>
        </w:rPr>
        <w:t>Subject to the terms and conditions herein set forth, (a) the Selling Stockholder agrees to sell to each of the Underwriters, and each of the Underwriters agrees, severally and not jointly, to purchase from the Selling Stockholder, at a purchase price per share of $[ ], the number of Firm Shares set forth opposite the name of such Underwriter in Schedule I hereto (to be adjusted by the Representatives so as to eliminate fractional shares) and (b) in the event and to the extent that the Underwriters shall exercise the election to purchase Optional Shares as</w:t>
      </w:r>
    </w:p>
    <w:p>
      <w:pPr>
        <w:sectPr>
          <w:pgSz w:w="11900" w:h="16838" w:orient="portrait"/>
          <w:cols w:equalWidth="0" w:num="1">
            <w:col w:w="10771"/>
          </w:cols>
          <w:pgMar w:left="809" w:top="1133" w:right="319" w:bottom="1440" w:gutter="0" w:footer="0" w:header="0"/>
        </w:sectPr>
      </w:pPr>
    </w:p>
    <w:bookmarkStart w:id="53" w:name="page54"/>
    <w:bookmarkEnd w:id="53"/>
    <w:p>
      <w:pPr>
        <w:jc w:val="both"/>
        <w:spacing w:after="0" w:line="266" w:lineRule="auto"/>
        <w:rPr>
          <w:sz w:val="20"/>
          <w:szCs w:val="20"/>
          <w:color w:val="auto"/>
        </w:rPr>
      </w:pPr>
      <w:r>
        <w:rPr>
          <w:rFonts w:ascii="Arial" w:cs="Arial" w:eastAsia="Arial" w:hAnsi="Arial"/>
          <w:sz w:val="15"/>
          <w:szCs w:val="15"/>
          <w:color w:val="auto"/>
        </w:rPr>
        <w:t>provided below, the Selling Stockholder agrees to sell to each of the Underwriters, and each of the Underwriters agrees, severally and not jointly, to purchase from the Selling Stockholder,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the number of Optional Shares set forth opposite the name of such Underwriter in Schedule I hereto as to which such election shall have been exercised (to be adjusted by the Representatives so as to eliminate fractional shares).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Selling Stockholder, as and to the extent indicated in Schedule II hereto, hereby grants to the Underwriters the right to purchase at their election up to</w:t>
      </w:r>
    </w:p>
    <w:p>
      <w:pPr>
        <w:spacing w:after="0" w:line="29" w:lineRule="exact"/>
        <w:rPr>
          <w:sz w:val="20"/>
          <w:szCs w:val="20"/>
          <w:color w:val="auto"/>
        </w:rPr>
      </w:pPr>
    </w:p>
    <w:p>
      <w:pPr>
        <w:jc w:val="both"/>
        <w:ind w:firstLine="4"/>
        <w:spacing w:after="0" w:line="260" w:lineRule="auto"/>
        <w:tabs>
          <w:tab w:leader="none" w:pos="86" w:val="left"/>
        </w:tabs>
        <w:numPr>
          <w:ilvl w:val="0"/>
          <w:numId w:val="39"/>
        </w:numPr>
        <w:rPr>
          <w:rFonts w:ascii="Arial" w:cs="Arial" w:eastAsia="Arial" w:hAnsi="Arial"/>
          <w:sz w:val="15"/>
          <w:szCs w:val="15"/>
          <w:color w:val="auto"/>
        </w:rPr>
      </w:pPr>
      <w:r>
        <w:rPr>
          <w:rFonts w:ascii="Wingdings" w:cs="Wingdings" w:eastAsia="Wingdings" w:hAnsi="Wingdings"/>
          <w:sz w:val="15"/>
          <w:szCs w:val="15"/>
          <w:b w:val="1"/>
          <w:bCs w:val="1"/>
          <w:color w:val="auto"/>
        </w:rPr>
        <w:t xml:space="preserve">l </w:t>
      </w:r>
      <w:r>
        <w:rPr>
          <w:rFonts w:ascii="Arial" w:cs="Arial" w:eastAsia="Arial" w:hAnsi="Arial"/>
          <w:sz w:val="15"/>
          <w:szCs w:val="15"/>
          <w:color w:val="auto"/>
        </w:rPr>
        <w:t>] Optional Shares, at the purchase price per share set forth in the paragraph above, provided that the purchase price per Optional Share shall be reduced by an</w:t>
      </w:r>
      <w:r>
        <w:rPr>
          <w:rFonts w:ascii="Wingdings" w:cs="Wingdings" w:eastAsia="Wingdings" w:hAnsi="Wingdings"/>
          <w:sz w:val="15"/>
          <w:szCs w:val="15"/>
          <w:b w:val="1"/>
          <w:bCs w:val="1"/>
          <w:color w:val="auto"/>
        </w:rPr>
        <w:t xml:space="preserve"> </w:t>
      </w:r>
      <w:r>
        <w:rPr>
          <w:rFonts w:ascii="Arial" w:cs="Arial" w:eastAsia="Arial" w:hAnsi="Arial"/>
          <w:sz w:val="15"/>
          <w:szCs w:val="15"/>
          <w:color w:val="auto"/>
        </w:rPr>
        <w:t>amount per share equal to any dividends or distributions declared by the Company and payable on the Firm Shares but not payable on the Optional Shares. Any such election to purchase Optional Shares shall be made in proportion to the maximum number of Optional Shares to be sold by the Selling Stockholder as set forth in Schedule II hereto. Any such election to purchase Optional Shares may be exercised only by written notice from the Representatives to the Company and the Selling Stockholder,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4 hereof) or, unless the Representatives and the Company and the Selling Stockholder otherwise agree in writing, earlier than one or later than ten business days after the date of such notice.</w:t>
      </w:r>
    </w:p>
    <w:p>
      <w:pPr>
        <w:spacing w:after="0" w:line="134" w:lineRule="exact"/>
        <w:rPr>
          <w:rFonts w:ascii="Arial" w:cs="Arial" w:eastAsia="Arial" w:hAnsi="Arial"/>
          <w:sz w:val="15"/>
          <w:szCs w:val="15"/>
          <w:color w:val="auto"/>
        </w:rPr>
      </w:pPr>
    </w:p>
    <w:p>
      <w:pPr>
        <w:ind w:firstLine="509"/>
        <w:spacing w:after="0" w:line="304" w:lineRule="auto"/>
        <w:tabs>
          <w:tab w:leader="none" w:pos="816" w:val="left"/>
        </w:tabs>
        <w:numPr>
          <w:ilvl w:val="1"/>
          <w:numId w:val="39"/>
        </w:numPr>
        <w:rPr>
          <w:rFonts w:ascii="Arial" w:cs="Arial" w:eastAsia="Arial" w:hAnsi="Arial"/>
          <w:sz w:val="15"/>
          <w:szCs w:val="15"/>
          <w:color w:val="auto"/>
        </w:rPr>
      </w:pPr>
      <w:r>
        <w:rPr>
          <w:rFonts w:ascii="Arial" w:cs="Arial" w:eastAsia="Arial" w:hAnsi="Arial"/>
          <w:sz w:val="15"/>
          <w:szCs w:val="15"/>
          <w:color w:val="auto"/>
        </w:rPr>
        <w:t>Upon the authorization by the Representatives of the release of the Shares, the several Underwriters propose to offer the Shares for sale upon the terms and conditions set forth in the Pricing Disclosure Package and the Prospectus.</w:t>
      </w:r>
    </w:p>
    <w:p>
      <w:pPr>
        <w:spacing w:after="0" w:line="110" w:lineRule="exact"/>
        <w:rPr>
          <w:rFonts w:ascii="Arial" w:cs="Arial" w:eastAsia="Arial" w:hAnsi="Arial"/>
          <w:sz w:val="15"/>
          <w:szCs w:val="15"/>
          <w:color w:val="auto"/>
        </w:rPr>
      </w:pPr>
    </w:p>
    <w:p>
      <w:pPr>
        <w:jc w:val="both"/>
        <w:ind w:firstLine="509"/>
        <w:spacing w:after="0" w:line="258" w:lineRule="auto"/>
        <w:tabs>
          <w:tab w:leader="none" w:pos="820" w:val="left"/>
        </w:tabs>
        <w:numPr>
          <w:ilvl w:val="1"/>
          <w:numId w:val="39"/>
        </w:numPr>
        <w:rPr>
          <w:rFonts w:ascii="Arial" w:cs="Arial" w:eastAsia="Arial" w:hAnsi="Arial"/>
          <w:sz w:val="15"/>
          <w:szCs w:val="15"/>
          <w:color w:val="auto"/>
        </w:rPr>
      </w:pPr>
      <w:r>
        <w:rPr>
          <w:rFonts w:ascii="Arial" w:cs="Arial" w:eastAsia="Arial" w:hAnsi="Arial"/>
          <w:sz w:val="15"/>
          <w:szCs w:val="15"/>
          <w:color w:val="auto"/>
        </w:rPr>
        <w:t>(a) The Shares to be purchased by each Underwriter hereunder, in definitive or book-entry form, and in such authorized denominations and registered in such names as the Representatives may request upon at least twenty-four hours’ prior notice to the Company and the Selling Stockholder shall be delivered by or on behalf of the Selling Stockholder to the Representatives, through the facilities of the Depository Trust Company (“DTC”), for the account of such Underwriter, against payment by or on behalf of such Underwriter of the purchase price therefor by wire transfer of Federal (same-day) funds to the account specified by the Selling Stockholder to the Representatives at least twenty-four hours in advance. The time and date of such delivery and payment shall be, with respect to the Firm Shares,</w:t>
      </w:r>
    </w:p>
    <w:p>
      <w:pPr>
        <w:spacing w:after="0" w:line="2" w:lineRule="exact"/>
        <w:rPr>
          <w:rFonts w:ascii="Arial" w:cs="Arial" w:eastAsia="Arial" w:hAnsi="Arial"/>
          <w:sz w:val="15"/>
          <w:szCs w:val="15"/>
          <w:color w:val="auto"/>
        </w:rPr>
      </w:pPr>
    </w:p>
    <w:p>
      <w:pPr>
        <w:jc w:val="both"/>
        <w:ind w:firstLine="4"/>
        <w:spacing w:after="0" w:line="261" w:lineRule="auto"/>
        <w:tabs>
          <w:tab w:leader="none" w:pos="86" w:val="left"/>
        </w:tabs>
        <w:numPr>
          <w:ilvl w:val="0"/>
          <w:numId w:val="39"/>
        </w:numPr>
        <w:rPr>
          <w:rFonts w:ascii="Arial" w:cs="Arial" w:eastAsia="Arial" w:hAnsi="Arial"/>
          <w:sz w:val="15"/>
          <w:szCs w:val="15"/>
          <w:color w:val="auto"/>
        </w:rPr>
      </w:pPr>
      <w:r>
        <w:rPr>
          <w:rFonts w:ascii="Wingdings" w:cs="Wingdings" w:eastAsia="Wingdings" w:hAnsi="Wingdings"/>
          <w:sz w:val="15"/>
          <w:szCs w:val="15"/>
          <w:b w:val="1"/>
          <w:bCs w:val="1"/>
          <w:color w:val="auto"/>
        </w:rPr>
        <w:t xml:space="preserve">l </w:t>
      </w:r>
      <w:r>
        <w:rPr>
          <w:rFonts w:ascii="Arial" w:cs="Arial" w:eastAsia="Arial" w:hAnsi="Arial"/>
          <w:sz w:val="15"/>
          <w:szCs w:val="15"/>
          <w:color w:val="auto"/>
        </w:rPr>
        <w:t>] [a.m.][p.m.], New York City time, on [</w:t>
      </w:r>
      <w:r>
        <w:rPr>
          <w:rFonts w:ascii="Wingdings" w:cs="Wingdings" w:eastAsia="Wingdings" w:hAnsi="Wingdings"/>
          <w:sz w:val="15"/>
          <w:szCs w:val="15"/>
          <w:b w:val="1"/>
          <w:bCs w:val="1"/>
          <w:color w:val="auto"/>
        </w:rPr>
        <w:t xml:space="preserve"> l </w:t>
      </w:r>
      <w:r>
        <w:rPr>
          <w:rFonts w:ascii="Arial" w:cs="Arial" w:eastAsia="Arial" w:hAnsi="Arial"/>
          <w:sz w:val="15"/>
          <w:szCs w:val="15"/>
          <w:color w:val="auto"/>
        </w:rPr>
        <w:t>], 2026 or such other time and date as the Representatives, the Company and the Selling Stockholder may agree upon</w:t>
      </w:r>
      <w:r>
        <w:rPr>
          <w:rFonts w:ascii="Wingdings" w:cs="Wingdings" w:eastAsia="Wingdings" w:hAnsi="Wingdings"/>
          <w:sz w:val="15"/>
          <w:szCs w:val="15"/>
          <w:b w:val="1"/>
          <w:bCs w:val="1"/>
          <w:color w:val="auto"/>
        </w:rPr>
        <w:t xml:space="preserve"> </w:t>
      </w:r>
      <w:r>
        <w:rPr>
          <w:rFonts w:ascii="Arial" w:cs="Arial" w:eastAsia="Arial" w:hAnsi="Arial"/>
          <w:sz w:val="15"/>
          <w:szCs w:val="15"/>
          <w:color w:val="auto"/>
        </w:rPr>
        <w:t xml:space="preserve">in writing, and, with respect to the Optional Shares, [ </w:t>
      </w:r>
      <w:r>
        <w:rPr>
          <w:rFonts w:ascii="Wingdings" w:cs="Wingdings" w:eastAsia="Wingdings" w:hAnsi="Wingdings"/>
          <w:sz w:val="15"/>
          <w:szCs w:val="15"/>
          <w:b w:val="1"/>
          <w:bCs w:val="1"/>
          <w:color w:val="auto"/>
        </w:rPr>
        <w:t>l</w:t>
      </w:r>
      <w:r>
        <w:rPr>
          <w:rFonts w:ascii="Arial" w:cs="Arial" w:eastAsia="Arial" w:hAnsi="Arial"/>
          <w:sz w:val="15"/>
          <w:szCs w:val="15"/>
          <w:color w:val="auto"/>
        </w:rPr>
        <w:t xml:space="preserve"> ] [a.m.][p.m.], New York City time, on the date specified by the Representatives in each written notice given by the Representatives of the Underwriters’ election to purchase such Optional Shares, or such other time and date as the Representatives, the Company and the Selling Stockholder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“Time of Delivery”.</w:t>
      </w:r>
    </w:p>
    <w:p>
      <w:pPr>
        <w:sectPr>
          <w:pgSz w:w="11900" w:h="16838" w:orient="portrait"/>
          <w:cols w:equalWidth="0" w:num="1">
            <w:col w:w="11280"/>
          </w:cols>
          <w:pgMar w:left="300" w:top="1133" w:right="319" w:bottom="1440" w:gutter="0" w:footer="0" w:header="0"/>
        </w:sectPr>
      </w:pPr>
    </w:p>
    <w:bookmarkStart w:id="54" w:name="page55"/>
    <w:bookmarkEnd w:id="54"/>
    <w:p>
      <w:pPr>
        <w:jc w:val="both"/>
        <w:ind w:left="-509" w:firstLine="1014"/>
        <w:spacing w:after="0" w:line="265" w:lineRule="auto"/>
        <w:tabs>
          <w:tab w:leader="none" w:pos="896" w:val="left"/>
        </w:tabs>
        <w:numPr>
          <w:ilvl w:val="1"/>
          <w:numId w:val="40"/>
        </w:numPr>
        <w:rPr>
          <w:rFonts w:ascii="Arial" w:cs="Arial" w:eastAsia="Arial" w:hAnsi="Arial"/>
          <w:sz w:val="15"/>
          <w:szCs w:val="15"/>
          <w:color w:val="auto"/>
        </w:rPr>
      </w:pPr>
      <w:r>
        <w:rPr>
          <w:rFonts w:ascii="Arial" w:cs="Arial" w:eastAsia="Arial" w:hAnsi="Arial"/>
          <w:sz w:val="15"/>
          <w:szCs w:val="15"/>
          <w:color w:val="auto"/>
        </w:rPr>
        <w:t xml:space="preserve">The documents to be delivered at each Time of Delivery by or on behalf of the parties hereto pursuant to Section 8 hereof, including the cross receipt for the Shares and any additional documents requested by the Underwriters pursuant to Section 8(l) hereof, will be delivered via email or at the offices of Latham &amp; Watkins LLP, 801 Jefferson Avenue, Suite 300, Redwood City, California 94063 (the “Closing Location”), and the Shares will be delivered at the office of DTC or its designated custodian, all at such Time of Delivery. A meeting will be held virtually or at the Closing Location at [ </w:t>
      </w:r>
      <w:r>
        <w:rPr>
          <w:rFonts w:ascii="Wingdings" w:cs="Wingdings" w:eastAsia="Wingdings" w:hAnsi="Wingdings"/>
          <w:sz w:val="15"/>
          <w:szCs w:val="15"/>
          <w:b w:val="1"/>
          <w:bCs w:val="1"/>
          <w:color w:val="auto"/>
        </w:rPr>
        <w:t>l</w:t>
      </w:r>
      <w:r>
        <w:rPr>
          <w:rFonts w:ascii="Arial" w:cs="Arial" w:eastAsia="Arial" w:hAnsi="Arial"/>
          <w:sz w:val="15"/>
          <w:szCs w:val="15"/>
          <w:color w:val="auto"/>
        </w:rPr>
        <w:t xml:space="preserve"> ] a.m.,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129" w:lineRule="exact"/>
        <w:rPr>
          <w:rFonts w:ascii="Arial" w:cs="Arial" w:eastAsia="Arial" w:hAnsi="Arial"/>
          <w:sz w:val="15"/>
          <w:szCs w:val="15"/>
          <w:color w:val="auto"/>
        </w:rPr>
      </w:pPr>
    </w:p>
    <w:p>
      <w:pPr>
        <w:ind w:left="291" w:hanging="291"/>
        <w:spacing w:after="0"/>
        <w:tabs>
          <w:tab w:leader="none" w:pos="291"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Company agrees with each of the Underwriters:</w:t>
      </w:r>
    </w:p>
    <w:p>
      <w:pPr>
        <w:spacing w:after="0" w:line="185" w:lineRule="exact"/>
        <w:rPr>
          <w:sz w:val="20"/>
          <w:szCs w:val="20"/>
          <w:color w:val="auto"/>
        </w:rPr>
      </w:pPr>
    </w:p>
    <w:p>
      <w:pPr>
        <w:jc w:val="both"/>
        <w:ind w:left="-509" w:firstLine="509"/>
        <w:spacing w:after="0" w:line="260" w:lineRule="auto"/>
        <w:tabs>
          <w:tab w:leader="none" w:pos="448" w:val="left"/>
        </w:tabs>
        <w:numPr>
          <w:ilvl w:val="0"/>
          <w:numId w:val="42"/>
        </w:numPr>
        <w:rPr>
          <w:rFonts w:ascii="Arial" w:cs="Arial" w:eastAsia="Arial" w:hAnsi="Arial"/>
          <w:sz w:val="15"/>
          <w:szCs w:val="15"/>
          <w:color w:val="auto"/>
        </w:rPr>
      </w:pPr>
      <w:r>
        <w:rPr>
          <w:rFonts w:ascii="Arial" w:cs="Arial" w:eastAsia="Arial" w:hAnsi="Arial"/>
          <w:sz w:val="15"/>
          <w:szCs w:val="15"/>
          <w:color w:val="auto"/>
        </w:rPr>
        <w:t>To prepare the Prospectus in a form approved by the Representatives and to file such Prospectus pursuant to Rule 424(b) under the Act prior to the earlier of (i) the First Time of Delivery and (ii)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Prospectus has been filed and to furnish the Representatives with copies thereof; to file promptly all material required to be filed by the Company with the Commission pursuant to Rule 433(d) under the Act; to advise the Representatives,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pacing w:after="0" w:line="146" w:lineRule="exact"/>
        <w:rPr>
          <w:rFonts w:ascii="Arial" w:cs="Arial" w:eastAsia="Arial" w:hAnsi="Arial"/>
          <w:sz w:val="15"/>
          <w:szCs w:val="15"/>
          <w:color w:val="auto"/>
        </w:rPr>
      </w:pPr>
    </w:p>
    <w:p>
      <w:pPr>
        <w:jc w:val="both"/>
        <w:ind w:left="-509" w:firstLine="509"/>
        <w:spacing w:after="0" w:line="266" w:lineRule="auto"/>
        <w:tabs>
          <w:tab w:leader="none" w:pos="417" w:val="left"/>
        </w:tabs>
        <w:numPr>
          <w:ilvl w:val="0"/>
          <w:numId w:val="42"/>
        </w:numPr>
        <w:rPr>
          <w:rFonts w:ascii="Arial" w:cs="Arial" w:eastAsia="Arial" w:hAnsi="Arial"/>
          <w:sz w:val="15"/>
          <w:szCs w:val="15"/>
          <w:color w:val="auto"/>
        </w:rPr>
      </w:pPr>
      <w:r>
        <w:rPr>
          <w:rFonts w:ascii="Arial" w:cs="Arial" w:eastAsia="Arial" w:hAnsi="Arial"/>
          <w:sz w:val="15"/>
          <w:szCs w:val="15"/>
          <w:color w:val="auto"/>
        </w:rPr>
        <w:t>Promptly from time to time to take such action as the Representatives may reasonably request to qualify the Shares for offering and sale under the securities laws of such jurisdictions as the Representatives may reasonably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subject itself to taxation for doing business in any jurisdiction in which it is not otherwise subject to taxation or to file a general consent to service of process in any jurisdiction (where not otherwise required);</w:t>
      </w:r>
    </w:p>
    <w:p>
      <w:pPr>
        <w:spacing w:after="0" w:line="138" w:lineRule="exact"/>
        <w:rPr>
          <w:rFonts w:ascii="Arial" w:cs="Arial" w:eastAsia="Arial" w:hAnsi="Arial"/>
          <w:sz w:val="15"/>
          <w:szCs w:val="15"/>
          <w:color w:val="auto"/>
        </w:rPr>
      </w:pPr>
    </w:p>
    <w:p>
      <w:pPr>
        <w:ind w:left="-509" w:firstLine="509"/>
        <w:spacing w:after="0" w:line="289" w:lineRule="auto"/>
        <w:tabs>
          <w:tab w:leader="none" w:pos="3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Prior to 10:00 a.m., New York City time, on the New York Business Day next succeeding the date of this Agreement (or such later date and time as may be agreed to by the</w:t>
      </w:r>
    </w:p>
    <w:p>
      <w:pPr>
        <w:sectPr>
          <w:pgSz w:w="11900" w:h="16838" w:orient="portrait"/>
          <w:cols w:equalWidth="0" w:num="1">
            <w:col w:w="10771"/>
          </w:cols>
          <w:pgMar w:left="809" w:top="1133" w:right="319" w:bottom="1440" w:gutter="0" w:footer="0" w:header="0"/>
        </w:sectPr>
      </w:pPr>
    </w:p>
    <w:bookmarkStart w:id="55" w:name="page56"/>
    <w:bookmarkEnd w:id="55"/>
    <w:p>
      <w:pPr>
        <w:jc w:val="both"/>
        <w:spacing w:after="0" w:line="260" w:lineRule="auto"/>
        <w:rPr>
          <w:sz w:val="20"/>
          <w:szCs w:val="20"/>
          <w:color w:val="auto"/>
        </w:rPr>
      </w:pPr>
      <w:r>
        <w:rPr>
          <w:rFonts w:ascii="Arial" w:cs="Arial" w:eastAsia="Arial" w:hAnsi="Arial"/>
          <w:sz w:val="15"/>
          <w:szCs w:val="15"/>
          <w:color w:val="auto"/>
        </w:rPr>
        <w:t>Representatives and the Company) and from time to time, to furnish the Underwriters with written and electronic copies of the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the Representatives and upon the Representatives’ request to prepare and furnish without charge to each Underwriter and to any dealer in securities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the Representatives’ request but at the expense of such Underwriter, to prepare and deliver to such Underwriter as many written and electronic copies as the Representatives may reasonably request of an amended or supplemented Prospectus complying with Section 10(a)(3) of the Act;</w:t>
      </w:r>
    </w:p>
    <w:p>
      <w:pPr>
        <w:spacing w:after="0" w:line="149" w:lineRule="exact"/>
        <w:rPr>
          <w:sz w:val="20"/>
          <w:szCs w:val="20"/>
          <w:color w:val="auto"/>
        </w:rPr>
      </w:pPr>
    </w:p>
    <w:p>
      <w:pPr>
        <w:jc w:val="both"/>
        <w:ind w:firstLine="509"/>
        <w:spacing w:after="0" w:line="272" w:lineRule="auto"/>
        <w:tabs>
          <w:tab w:leader="none" w:pos="9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22" w:lineRule="exact"/>
        <w:rPr>
          <w:rFonts w:ascii="Arial" w:cs="Arial" w:eastAsia="Arial" w:hAnsi="Arial"/>
          <w:sz w:val="15"/>
          <w:szCs w:val="15"/>
          <w:color w:val="auto"/>
        </w:rPr>
      </w:pPr>
    </w:p>
    <w:p>
      <w:pPr>
        <w:jc w:val="both"/>
        <w:ind w:firstLine="509"/>
        <w:spacing w:after="0" w:line="263" w:lineRule="auto"/>
        <w:tabs>
          <w:tab w:leader="none" w:pos="945" w:val="left"/>
        </w:tabs>
        <w:numPr>
          <w:ilvl w:val="0"/>
          <w:numId w:val="43"/>
        </w:numPr>
        <w:rPr>
          <w:rFonts w:ascii="Arial" w:cs="Arial" w:eastAsia="Arial" w:hAnsi="Arial"/>
          <w:sz w:val="15"/>
          <w:szCs w:val="15"/>
          <w:color w:val="auto"/>
        </w:rPr>
      </w:pPr>
      <w:r>
        <w:rPr>
          <w:rFonts w:ascii="Arial" w:cs="Arial" w:eastAsia="Arial" w:hAnsi="Arial"/>
          <w:sz w:val="15"/>
          <w:szCs w:val="15"/>
          <w:color w:val="auto"/>
        </w:rPr>
        <w:t>During the period beginning from the date hereof and continuing to and including the date 90 days after the date of the Prospectus (the “Lock-Up Period”), not to (i) offer, sell, contract to sell, pledge, grant any option, right or warrant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the Shares to be sold hereunder or pursuant to equity plans existing on, or upon the conversion or exchange of convertible or exchangeable securities outstanding as of, the date of this Agreement), without the prior written consent of the Representatives;</w:t>
      </w:r>
    </w:p>
    <w:p>
      <w:pPr>
        <w:spacing w:after="0" w:line="130" w:lineRule="exact"/>
        <w:rPr>
          <w:sz w:val="20"/>
          <w:szCs w:val="20"/>
          <w:color w:val="auto"/>
        </w:rPr>
      </w:pPr>
    </w:p>
    <w:p>
      <w:pPr>
        <w:ind w:firstLine="505"/>
        <w:spacing w:after="0" w:line="304" w:lineRule="auto"/>
        <w:rPr>
          <w:sz w:val="20"/>
          <w:szCs w:val="20"/>
          <w:color w:val="auto"/>
        </w:rPr>
      </w:pPr>
      <w:r>
        <w:rPr>
          <w:rFonts w:ascii="Arial" w:cs="Arial" w:eastAsia="Arial" w:hAnsi="Arial"/>
          <w:sz w:val="15"/>
          <w:szCs w:val="15"/>
          <w:color w:val="auto"/>
        </w:rPr>
        <w:t>The restrictions contained in the preceding paragraph shall not apply to (A) the Shares to be sold hereunder, (B) the issuance by the Company of shares of Stock upon the exercise of</w:t>
      </w:r>
    </w:p>
    <w:p>
      <w:pPr>
        <w:sectPr>
          <w:pgSz w:w="11900" w:h="16838" w:orient="portrait"/>
          <w:cols w:equalWidth="0" w:num="1">
            <w:col w:w="11280"/>
          </w:cols>
          <w:pgMar w:left="300" w:top="1133" w:right="319" w:bottom="1440" w:gutter="0" w:footer="0" w:header="0"/>
        </w:sectPr>
      </w:pPr>
    </w:p>
    <w:bookmarkStart w:id="56" w:name="page57"/>
    <w:bookmarkEnd w:id="56"/>
    <w:p>
      <w:pPr>
        <w:jc w:val="both"/>
        <w:spacing w:after="0" w:line="260" w:lineRule="auto"/>
        <w:rPr>
          <w:sz w:val="20"/>
          <w:szCs w:val="20"/>
          <w:color w:val="auto"/>
        </w:rPr>
      </w:pPr>
      <w:r>
        <w:rPr>
          <w:rFonts w:ascii="Arial" w:cs="Arial" w:eastAsia="Arial" w:hAnsi="Arial"/>
          <w:sz w:val="15"/>
          <w:szCs w:val="15"/>
          <w:color w:val="auto"/>
        </w:rPr>
        <w:t>options or the settlement of restricted stock units (including any “net” exercise or settlement) outstanding as of, or issued after, the date hereof pursuant to the Company’s equity plans described in the Pricing Prospectus and the Prospectus or other arrangement described in the Pricing Prospectus, (C) the issuance by the Company of shares of its common stock upon the conversion or exchange of convertible or exchangeable securities outstanding as of the date hereof as described in the Pricing Prospectus and the Prospectus, (D) the issuance by the Company of shares of Stock or securities convertible into, exchangeable for or that represent the right to receive shares of Stock, in each case pursuant to the Company’s equity plans described in the Pricing Prospectus and the Prospectus, (E) the issuance by the Company of shares of Stock or securities convertible into, exchangeable for or that represent the right to receive shares of Stock in connection with (x) the acquisition by the Company or any of its subsidiaries of the securities, business, technology, property or other assets of another person or entity or pursuant to an employee benefit plan assumed by the Company in connection with such acquisition, and the issuance of any such securities pursuant to any such agreement, or (y) the Company’s joint ventures, commercial relationships and other strategic relationships, or (F) the filing of any registration statement(s) on Form S-8 relating to the securities granted or to be granted pursuant to (i) the Company’s equity plans that are described in the Pricing Prospectus and the Prospectus or (ii) any assumed employee benefit plan contemplated by clause (E); provided, that the aggregate number of shares of Stock that the Company may sell or issue or agree to sell or issue pursuant to clause (E) shall not exceed 5% of the total number of shares of common stock of the Company outstanding as of the date of this Agreement; provided further, that in the case of clause (E), the Company shall cause each recipient of such securities to execute and deliver to the Representatives, on or prior to the issuance of such securities, a lock-up letter in substantially the form attached as Annex I hereto for the remainder of the Lock-Up Period (as defined therein) and enter stop transfer instructions with the Company’s transfer agent and registrar on such securities, which the Company agrees it will not waive or amend without the prior written consent of the Representatives;</w:t>
      </w:r>
    </w:p>
    <w:p>
      <w:pPr>
        <w:spacing w:after="0" w:line="333" w:lineRule="exact"/>
        <w:rPr>
          <w:sz w:val="20"/>
          <w:szCs w:val="20"/>
          <w:color w:val="auto"/>
        </w:rPr>
      </w:pPr>
    </w:p>
    <w:p>
      <w:pPr>
        <w:jc w:val="both"/>
        <w:ind w:firstLine="509"/>
        <w:spacing w:after="0" w:line="262" w:lineRule="auto"/>
        <w:tabs>
          <w:tab w:leader="none" w:pos="847" w:val="left"/>
        </w:tabs>
        <w:numPr>
          <w:ilvl w:val="0"/>
          <w:numId w:val="44"/>
        </w:numPr>
        <w:rPr>
          <w:rFonts w:ascii="Arial" w:cs="Arial" w:eastAsia="Arial" w:hAnsi="Arial"/>
          <w:sz w:val="15"/>
          <w:szCs w:val="15"/>
          <w:color w:val="auto"/>
        </w:rPr>
      </w:pPr>
      <w:r>
        <w:rPr>
          <w:rFonts w:ascii="Arial" w:cs="Arial" w:eastAsia="Arial" w:hAnsi="Arial"/>
          <w:sz w:val="15"/>
          <w:szCs w:val="15"/>
          <w:color w:val="auto"/>
        </w:rPr>
        <w:t>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that no reports, documents or other information need to be furnished pursuant to this Section 5(f) to the extent that they are available on EDGAR;</w:t>
      </w:r>
    </w:p>
    <w:p>
      <w:pPr>
        <w:spacing w:after="0" w:line="144" w:lineRule="exact"/>
        <w:rPr>
          <w:rFonts w:ascii="Arial" w:cs="Arial" w:eastAsia="Arial" w:hAnsi="Arial"/>
          <w:sz w:val="15"/>
          <w:szCs w:val="15"/>
          <w:color w:val="auto"/>
        </w:rPr>
      </w:pPr>
    </w:p>
    <w:p>
      <w:pPr>
        <w:jc w:val="both"/>
        <w:ind w:firstLine="509"/>
        <w:spacing w:after="0" w:line="265" w:lineRule="auto"/>
        <w:tabs>
          <w:tab w:leader="none" w:pos="884" w:val="left"/>
        </w:tabs>
        <w:numPr>
          <w:ilvl w:val="0"/>
          <w:numId w:val="44"/>
        </w:numPr>
        <w:rPr>
          <w:rFonts w:ascii="Arial" w:cs="Arial" w:eastAsia="Arial" w:hAnsi="Arial"/>
          <w:sz w:val="15"/>
          <w:szCs w:val="15"/>
          <w:color w:val="auto"/>
        </w:rPr>
      </w:pPr>
      <w:r>
        <w:rPr>
          <w:rFonts w:ascii="Arial" w:cs="Arial" w:eastAsia="Arial" w:hAnsi="Arial"/>
          <w:sz w:val="15"/>
          <w:szCs w:val="15"/>
          <w:color w:val="auto"/>
        </w:rPr>
        <w:t>During a period of three years from the effective date of the Registration Statement, so long as the Company is subject to the reporting requirements of either Section 13 or Section 15(d) of the Exchange Act, to furnish to the Representatives copies of all reports or other communications (financial or other) furnished to stockholders, and to deliver to the Representatives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the Representatives may from time to time reasonably request (such financial statements to be on a consolidated basis to the extent the</w:t>
      </w:r>
    </w:p>
    <w:p>
      <w:pPr>
        <w:sectPr>
          <w:pgSz w:w="11900" w:h="16838" w:orient="portrait"/>
          <w:cols w:equalWidth="0" w:num="1">
            <w:col w:w="11280"/>
          </w:cols>
          <w:pgMar w:left="300" w:top="1133" w:right="319" w:bottom="1440" w:gutter="0" w:footer="0" w:header="0"/>
        </w:sectPr>
      </w:pPr>
    </w:p>
    <w:bookmarkStart w:id="57" w:name="page58"/>
    <w:bookmarkEnd w:id="57"/>
    <w:p>
      <w:pPr>
        <w:jc w:val="both"/>
        <w:spacing w:after="0" w:line="276" w:lineRule="auto"/>
        <w:rPr>
          <w:sz w:val="20"/>
          <w:szCs w:val="20"/>
          <w:color w:val="auto"/>
        </w:rPr>
      </w:pPr>
      <w:r>
        <w:rPr>
          <w:rFonts w:ascii="Arial" w:cs="Arial" w:eastAsia="Arial" w:hAnsi="Arial"/>
          <w:sz w:val="15"/>
          <w:szCs w:val="15"/>
          <w:color w:val="auto"/>
        </w:rPr>
        <w:t>accounts of the Company and its subsidiaries are consolidated in reports furnished or delivered to its stockholders generally or to the Commission); provided that no reports, documents or other information need to be furnished pursuant to this Section 5(g) to the extent that they are available on EDGAR or to the extent such provisions of such reports, documents or other information would require public disclosure by the Company under Regulation FD;</w:t>
      </w:r>
    </w:p>
    <w:p>
      <w:pPr>
        <w:spacing w:after="0" w:line="131" w:lineRule="exact"/>
        <w:rPr>
          <w:sz w:val="20"/>
          <w:szCs w:val="20"/>
          <w:color w:val="auto"/>
        </w:rPr>
      </w:pPr>
    </w:p>
    <w:p>
      <w:pPr>
        <w:ind w:left="860" w:hanging="351"/>
        <w:spacing w:after="0"/>
        <w:tabs>
          <w:tab w:leader="none" w:pos="8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To file with the Commission such information on Form 10-Q or Form 10-K as may be required by Rule 463 under the Act;</w:t>
      </w:r>
    </w:p>
    <w:p>
      <w:pPr>
        <w:spacing w:after="0" w:line="174" w:lineRule="exact"/>
        <w:rPr>
          <w:rFonts w:ascii="Arial" w:cs="Arial" w:eastAsia="Arial" w:hAnsi="Arial"/>
          <w:sz w:val="15"/>
          <w:szCs w:val="15"/>
          <w:color w:val="auto"/>
        </w:rPr>
      </w:pPr>
    </w:p>
    <w:p>
      <w:pPr>
        <w:jc w:val="both"/>
        <w:ind w:firstLine="509"/>
        <w:spacing w:after="0" w:line="272" w:lineRule="auto"/>
        <w:tabs>
          <w:tab w:leader="none" w:pos="8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w:t>
      </w:r>
    </w:p>
    <w:p>
      <w:pPr>
        <w:spacing w:after="0" w:line="133" w:lineRule="exact"/>
        <w:rPr>
          <w:rFonts w:ascii="Arial" w:cs="Arial" w:eastAsia="Arial" w:hAnsi="Arial"/>
          <w:sz w:val="15"/>
          <w:szCs w:val="15"/>
          <w:color w:val="auto"/>
        </w:rPr>
      </w:pPr>
    </w:p>
    <w:p>
      <w:pPr>
        <w:jc w:val="both"/>
        <w:ind w:firstLine="509"/>
        <w:spacing w:after="0" w:line="276" w:lineRule="auto"/>
        <w:tabs>
          <w:tab w:leader="none" w:pos="941" w:val="left"/>
        </w:tabs>
        <w:numPr>
          <w:ilvl w:val="0"/>
          <w:numId w:val="45"/>
        </w:numPr>
        <w:rPr>
          <w:rFonts w:ascii="Arial" w:cs="Arial" w:eastAsia="Arial" w:hAnsi="Arial"/>
          <w:sz w:val="15"/>
          <w:szCs w:val="15"/>
          <w:color w:val="auto"/>
        </w:rPr>
      </w:pPr>
      <w:r>
        <w:rPr>
          <w:rFonts w:ascii="Arial" w:cs="Arial" w:eastAsia="Arial" w:hAnsi="Arial"/>
          <w:sz w:val="15"/>
          <w:szCs w:val="15"/>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w:t>
      </w:r>
    </w:p>
    <w:p>
      <w:pPr>
        <w:spacing w:after="0" w:line="310" w:lineRule="exact"/>
        <w:rPr>
          <w:sz w:val="20"/>
          <w:szCs w:val="20"/>
          <w:color w:val="auto"/>
        </w:rPr>
      </w:pPr>
    </w:p>
    <w:p>
      <w:pPr>
        <w:jc w:val="both"/>
        <w:ind w:firstLine="509"/>
        <w:spacing w:after="0" w:line="265" w:lineRule="auto"/>
        <w:tabs>
          <w:tab w:leader="none" w:pos="811" w:val="left"/>
        </w:tabs>
        <w:numPr>
          <w:ilvl w:val="1"/>
          <w:numId w:val="46"/>
        </w:numPr>
        <w:rPr>
          <w:rFonts w:ascii="Arial" w:cs="Arial" w:eastAsia="Arial" w:hAnsi="Arial"/>
          <w:sz w:val="15"/>
          <w:szCs w:val="15"/>
          <w:color w:val="auto"/>
        </w:rPr>
      </w:pPr>
      <w:r>
        <w:rPr>
          <w:rFonts w:ascii="Arial" w:cs="Arial" w:eastAsia="Arial" w:hAnsi="Arial"/>
          <w:sz w:val="15"/>
          <w:szCs w:val="15"/>
          <w:color w:val="auto"/>
        </w:rPr>
        <w:t>(a) The Company represents and agrees that, without the prior consent of the Representatives, it has not made and will not make any offer relating to the Shares that would constitute a “free writing prospectus” as defined in Rule 405 under the Act; the Selling Stockholder represents and agrees that, without the prior consent of the Company and the Representatives, it has not made and will not make any offer relating to the Shares that would constitute a free writing prospectus; and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III(a) hereto;</w:t>
      </w:r>
    </w:p>
    <w:p>
      <w:pPr>
        <w:spacing w:after="0" w:line="140" w:lineRule="exact"/>
        <w:rPr>
          <w:rFonts w:ascii="Arial" w:cs="Arial" w:eastAsia="Arial" w:hAnsi="Arial"/>
          <w:sz w:val="15"/>
          <w:szCs w:val="15"/>
          <w:color w:val="auto"/>
        </w:rPr>
      </w:pPr>
    </w:p>
    <w:p>
      <w:pPr>
        <w:ind w:firstLine="446"/>
        <w:spacing w:after="0" w:line="289" w:lineRule="auto"/>
        <w:tabs>
          <w:tab w:leader="none" w:pos="815"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Company has complied and will comply with the requirements of Rule 433 under the Act applicable to any Issuer Free Writing Prospectus, including timely filing with the Commission or retention where required and legending;</w:t>
      </w:r>
    </w:p>
    <w:p>
      <w:pPr>
        <w:spacing w:after="0" w:line="121" w:lineRule="exact"/>
        <w:rPr>
          <w:rFonts w:ascii="Arial" w:cs="Arial" w:eastAsia="Arial" w:hAnsi="Arial"/>
          <w:sz w:val="15"/>
          <w:szCs w:val="15"/>
          <w:color w:val="auto"/>
        </w:rPr>
      </w:pPr>
    </w:p>
    <w:p>
      <w:pPr>
        <w:jc w:val="both"/>
        <w:ind w:firstLine="446"/>
        <w:spacing w:after="0" w:line="268" w:lineRule="auto"/>
        <w:tabs>
          <w:tab w:leader="none" w:pos="804"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w:t>
      </w:r>
      <w:r>
        <w:rPr>
          <w:rFonts w:ascii="Arial" w:cs="Arial" w:eastAsia="Arial" w:hAnsi="Arial"/>
          <w:sz w:val="15"/>
          <w:szCs w:val="15"/>
          <w:b w:val="1"/>
          <w:bCs w:val="1"/>
          <w:color w:val="auto"/>
        </w:rPr>
        <w:t>;</w:t>
      </w:r>
    </w:p>
    <w:p>
      <w:pPr>
        <w:sectPr>
          <w:pgSz w:w="11900" w:h="16838" w:orient="portrait"/>
          <w:cols w:equalWidth="0" w:num="1">
            <w:col w:w="11280"/>
          </w:cols>
          <w:pgMar w:left="300" w:top="1133" w:right="319" w:bottom="1440" w:gutter="0" w:footer="0" w:header="0"/>
        </w:sectPr>
      </w:pPr>
    </w:p>
    <w:bookmarkStart w:id="58" w:name="page59"/>
    <w:bookmarkEnd w:id="58"/>
    <w:p>
      <w:pPr>
        <w:jc w:val="both"/>
        <w:ind w:firstLine="509"/>
        <w:spacing w:after="0" w:line="265" w:lineRule="auto"/>
        <w:tabs>
          <w:tab w:leader="none" w:pos="1047"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Communications, other than those distributed with the prior consent of the Representatives that are listed on Schedule III(d) hereto; and the Company reconfirms that the Underwriters have been authorized to act on its behalf in engaging in Testing-the-Waters Communications; and</w:t>
      </w:r>
    </w:p>
    <w:p>
      <w:pPr>
        <w:spacing w:after="0" w:line="140" w:lineRule="exact"/>
        <w:rPr>
          <w:rFonts w:ascii="Arial" w:cs="Arial" w:eastAsia="Arial" w:hAnsi="Arial"/>
          <w:sz w:val="15"/>
          <w:szCs w:val="15"/>
          <w:color w:val="auto"/>
        </w:rPr>
      </w:pPr>
    </w:p>
    <w:p>
      <w:pPr>
        <w:jc w:val="both"/>
        <w:ind w:firstLine="509"/>
        <w:spacing w:after="0" w:line="267" w:lineRule="auto"/>
        <w:tabs>
          <w:tab w:leader="none" w:pos="949" w:val="left"/>
        </w:tabs>
        <w:numPr>
          <w:ilvl w:val="0"/>
          <w:numId w:val="48"/>
        </w:numPr>
        <w:rPr>
          <w:rFonts w:ascii="Arial" w:cs="Arial" w:eastAsia="Arial" w:hAnsi="Arial"/>
          <w:sz w:val="15"/>
          <w:szCs w:val="15"/>
          <w:color w:val="auto"/>
        </w:rPr>
      </w:pPr>
      <w:r>
        <w:rPr>
          <w:rFonts w:ascii="Arial" w:cs="Arial" w:eastAsia="Arial" w:hAnsi="Arial"/>
          <w:sz w:val="15"/>
          <w:szCs w:val="15"/>
          <w:color w:val="auto"/>
        </w:rPr>
        <w:t>Each Underwriter represents and agrees that (i)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 and (ii) it will not distribute, or authorize any other person to distribute, any Written Testing-the-Waters Communication, other than those distributed with the prior written authorization of the Company.</w:t>
      </w:r>
    </w:p>
    <w:p>
      <w:pPr>
        <w:spacing w:after="0" w:line="137" w:lineRule="exact"/>
        <w:rPr>
          <w:sz w:val="20"/>
          <w:szCs w:val="20"/>
          <w:color w:val="auto"/>
        </w:rPr>
      </w:pPr>
    </w:p>
    <w:p>
      <w:pPr>
        <w:jc w:val="both"/>
        <w:ind w:firstLine="509"/>
        <w:spacing w:after="0" w:line="258" w:lineRule="auto"/>
        <w:tabs>
          <w:tab w:leader="none" w:pos="862" w:val="left"/>
        </w:tabs>
        <w:numPr>
          <w:ilvl w:val="1"/>
          <w:numId w:val="49"/>
        </w:numPr>
        <w:rPr>
          <w:rFonts w:ascii="Arial" w:cs="Arial" w:eastAsia="Arial" w:hAnsi="Arial"/>
          <w:sz w:val="15"/>
          <w:szCs w:val="15"/>
          <w:color w:val="auto"/>
        </w:rPr>
      </w:pPr>
      <w:r>
        <w:rPr>
          <w:rFonts w:ascii="Arial" w:cs="Arial" w:eastAsia="Arial" w:hAnsi="Arial"/>
          <w:sz w:val="15"/>
          <w:szCs w:val="15"/>
          <w:color w:val="auto"/>
        </w:rPr>
        <w:t>The Company and the Selling Stockholder, severally and not jointly, covenant and agree with one another and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reasonable and documented fees and disbursements of counsel for the Underwriters in connection with such qualification and in connection with the Blue Sky survey; (iv) the filing fees incident to, and the reasonable and documented fees and disbursements of counsel for the Underwriters in connection with, any required review by FINRA of the terms of the sale of the Shares; (v) the cost of preparing stock certificates; (vi) the cost and charges of any transfer agent or registrar; (vii) any stock or other transfer taxes and any stamp or other duties payable upon the sale or delivery of the Shares to the Underwriters;</w:t>
      </w:r>
    </w:p>
    <w:p>
      <w:pPr>
        <w:spacing w:after="0" w:line="5" w:lineRule="exact"/>
        <w:rPr>
          <w:rFonts w:ascii="Arial" w:cs="Arial" w:eastAsia="Arial" w:hAnsi="Arial"/>
          <w:sz w:val="15"/>
          <w:szCs w:val="15"/>
          <w:color w:val="auto"/>
        </w:rPr>
      </w:pPr>
    </w:p>
    <w:p>
      <w:pPr>
        <w:ind w:left="340" w:hanging="336"/>
        <w:spacing w:after="0"/>
        <w:tabs>
          <w:tab w:leader="none" w:pos="3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reasonable fees and disbursements, not to exceed $100,000, of counsel for the Selling Stockholder; and (ix) all other costs and expenses incident to the</w:t>
      </w:r>
    </w:p>
    <w:p>
      <w:pPr>
        <w:spacing w:after="0" w:line="1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performance of its obligations hereunder which are not otherwise specifically provided for in this Section (provided, that the amount payable by the Company with respect to the fees and disbursements of counsel for the Underwriters pursuant to subsections (iii) and (iv) shall not exceed $35,000 in the aggregate); and the Selling Stockholder will pay or cause to be paid all costs and expenses incident to the performance of the Selling Stockholder's obligations hereunder which are not otherwise specifically provided for in this Section, including (I) any fees and expenses of counsel for the Selling Stockholder in excess of those agreed to be paid by the Company pursuant to subsection (viii) and (II) all expenses and taxes incident to the execution, delivery and consummation of this Agreement and the sale and delivery of the Shares to be sold</w:t>
      </w:r>
    </w:p>
    <w:p>
      <w:pPr>
        <w:sectPr>
          <w:pgSz w:w="11900" w:h="16838" w:orient="portrait"/>
          <w:cols w:equalWidth="0" w:num="1">
            <w:col w:w="11280"/>
          </w:cols>
          <w:pgMar w:left="300" w:top="1133" w:right="319" w:bottom="1440" w:gutter="0" w:footer="0" w:header="0"/>
        </w:sectPr>
      </w:pPr>
    </w:p>
    <w:bookmarkStart w:id="59" w:name="page60"/>
    <w:bookmarkEnd w:id="59"/>
    <w:p>
      <w:pPr>
        <w:jc w:val="both"/>
        <w:spacing w:after="0" w:line="265" w:lineRule="auto"/>
        <w:rPr>
          <w:sz w:val="20"/>
          <w:szCs w:val="20"/>
          <w:color w:val="auto"/>
        </w:rPr>
      </w:pPr>
      <w:r>
        <w:rPr>
          <w:rFonts w:ascii="Arial" w:cs="Arial" w:eastAsia="Arial" w:hAnsi="Arial"/>
          <w:sz w:val="15"/>
          <w:szCs w:val="15"/>
          <w:color w:val="auto"/>
        </w:rPr>
        <w:t>by the Selling Stockholder to the Underwriters hereunder. In connection with clause (II) of the preceding sentence, the Representatives agree to pay New York State stock transfer tax, and the Selling Stockholder agrees to reimburse the Representatives for associated carrying costs if such tax payment is not rebated on the day of payment and for any portion of such tax payment not rebated. It is understood that the Company shall bear, and the Selling Stockholder shall not be required to pay or to reimburse the Company for, the cost of any other matters not directly relating to the sale and purchase of the Shares pursuant to this Agreement, and that, except as provided in this Section, and Sections 9 and 12 hereof, the Underwriters will pay all of their own costs and expenses, including the fees of their counsel, lodging, travel and meal expenses in connection with any “roadshow” as defined in Rule 433(h) under the Act (a “roadshow”), stock transfer taxes on resale of any of the Shares by them, and any advertising expenses connected with any offers they may make.</w:t>
      </w:r>
    </w:p>
    <w:p>
      <w:pPr>
        <w:spacing w:after="0" w:line="129" w:lineRule="exact"/>
        <w:rPr>
          <w:sz w:val="20"/>
          <w:szCs w:val="20"/>
          <w:color w:val="auto"/>
        </w:rPr>
      </w:pPr>
    </w:p>
    <w:p>
      <w:pPr>
        <w:jc w:val="both"/>
        <w:ind w:firstLine="509"/>
        <w:spacing w:after="0" w:line="272" w:lineRule="auto"/>
        <w:tabs>
          <w:tab w:leader="none" w:pos="873"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obligations of the Underwriters hereunder, as to the Shares to be delivered at each Time of Delivery, shall be subject, in their discretion, to the condition that all representations and warranties and other statements of the Company and the Selling Stockholder herein are, at and as of the Applicable Time and such Time of Delivery, true and correct, the condition that the Company and the Selling Stockholder shall have performed all of their respective obligations hereunder theretofore to be performed, and the following additional conditions:</w:t>
      </w:r>
    </w:p>
    <w:p>
      <w:pPr>
        <w:spacing w:after="0" w:line="133" w:lineRule="exact"/>
        <w:rPr>
          <w:sz w:val="20"/>
          <w:szCs w:val="20"/>
          <w:color w:val="auto"/>
        </w:rPr>
      </w:pPr>
    </w:p>
    <w:p>
      <w:pPr>
        <w:jc w:val="both"/>
        <w:ind w:firstLine="509"/>
        <w:spacing w:after="0" w:line="263" w:lineRule="auto"/>
        <w:tabs>
          <w:tab w:leader="none" w:pos="892"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the Representatives’ reasonable satisfaction;</w:t>
      </w:r>
    </w:p>
    <w:p>
      <w:pPr>
        <w:spacing w:after="0" w:line="129" w:lineRule="exact"/>
        <w:rPr>
          <w:rFonts w:ascii="Arial" w:cs="Arial" w:eastAsia="Arial" w:hAnsi="Arial"/>
          <w:sz w:val="15"/>
          <w:szCs w:val="15"/>
          <w:color w:val="auto"/>
        </w:rPr>
      </w:pPr>
    </w:p>
    <w:p>
      <w:pPr>
        <w:jc w:val="both"/>
        <w:ind w:firstLine="509"/>
        <w:spacing w:after="0" w:line="276" w:lineRule="auto"/>
        <w:tabs>
          <w:tab w:leader="none" w:pos="979" w:val="left"/>
        </w:tabs>
        <w:numPr>
          <w:ilvl w:val="0"/>
          <w:numId w:val="52"/>
        </w:numPr>
        <w:rPr>
          <w:rFonts w:ascii="Arial" w:cs="Arial" w:eastAsia="Arial" w:hAnsi="Arial"/>
          <w:sz w:val="15"/>
          <w:szCs w:val="15"/>
          <w:color w:val="auto"/>
        </w:rPr>
      </w:pPr>
      <w:r>
        <w:rPr>
          <w:rFonts w:ascii="Arial" w:cs="Arial" w:eastAsia="Arial" w:hAnsi="Arial"/>
          <w:sz w:val="15"/>
          <w:szCs w:val="15"/>
          <w:color w:val="auto"/>
        </w:rPr>
        <w:t>Latham &amp; Watkins LLP, counsel for the Underwriters, shall have furnished to the Representatives such written opinion or opinions and negative assurance letter, dated such Time of Delivery, in form and substance satisfactory to the Representatives, and such counsel shall have received such papers and information as they may reasonably request to enable them to pass upon such matters;</w:t>
      </w:r>
    </w:p>
    <w:p>
      <w:pPr>
        <w:spacing w:after="0" w:line="130" w:lineRule="exact"/>
        <w:rPr>
          <w:rFonts w:ascii="Arial" w:cs="Arial" w:eastAsia="Arial" w:hAnsi="Arial"/>
          <w:sz w:val="15"/>
          <w:szCs w:val="15"/>
          <w:color w:val="auto"/>
        </w:rPr>
      </w:pPr>
    </w:p>
    <w:p>
      <w:pPr>
        <w:ind w:firstLine="509"/>
        <w:spacing w:after="0" w:line="304" w:lineRule="auto"/>
        <w:tabs>
          <w:tab w:leader="none" w:pos="904" w:val="left"/>
        </w:tabs>
        <w:numPr>
          <w:ilvl w:val="0"/>
          <w:numId w:val="52"/>
        </w:numPr>
        <w:rPr>
          <w:rFonts w:ascii="Arial" w:cs="Arial" w:eastAsia="Arial" w:hAnsi="Arial"/>
          <w:sz w:val="15"/>
          <w:szCs w:val="15"/>
          <w:color w:val="auto"/>
        </w:rPr>
      </w:pPr>
      <w:r>
        <w:rPr>
          <w:rFonts w:ascii="Arial" w:cs="Arial" w:eastAsia="Arial" w:hAnsi="Arial"/>
          <w:sz w:val="15"/>
          <w:szCs w:val="15"/>
          <w:color w:val="auto"/>
        </w:rPr>
        <w:t>Goodwin Procter LLP, counsel for the Company, shall have furnished to the Representatives their written opinion or opinions and negative assurance letter, dated such Time of Delivery, in form and substance satisfactory to the Representatives;</w:t>
      </w:r>
    </w:p>
    <w:p>
      <w:pPr>
        <w:spacing w:after="0" w:line="99" w:lineRule="exact"/>
        <w:rPr>
          <w:rFonts w:ascii="Arial" w:cs="Arial" w:eastAsia="Arial" w:hAnsi="Arial"/>
          <w:sz w:val="15"/>
          <w:szCs w:val="15"/>
          <w:color w:val="auto"/>
        </w:rPr>
      </w:pPr>
    </w:p>
    <w:p>
      <w:pPr>
        <w:ind w:firstLine="509"/>
        <w:spacing w:after="0" w:line="304" w:lineRule="auto"/>
        <w:tabs>
          <w:tab w:leader="none" w:pos="876" w:val="left"/>
        </w:tabs>
        <w:numPr>
          <w:ilvl w:val="0"/>
          <w:numId w:val="52"/>
        </w:numPr>
        <w:rPr>
          <w:rFonts w:ascii="Arial" w:cs="Arial" w:eastAsia="Arial" w:hAnsi="Arial"/>
          <w:sz w:val="15"/>
          <w:szCs w:val="15"/>
          <w:color w:val="auto"/>
        </w:rPr>
      </w:pPr>
      <w:r>
        <w:rPr>
          <w:rFonts w:ascii="Arial" w:cs="Arial" w:eastAsia="Arial" w:hAnsi="Arial"/>
          <w:sz w:val="15"/>
          <w:szCs w:val="15"/>
          <w:color w:val="auto"/>
        </w:rPr>
        <w:t>Counsel for the Selling Stockholder, as indicated in Schedule II hereto, shall have furnished to the Representatives its written opinion with respect to the Selling Stockholder, dated such Time of Delivery, in form and substance satisfactory to the Representatives;</w:t>
      </w:r>
    </w:p>
    <w:p>
      <w:pPr>
        <w:sectPr>
          <w:pgSz w:w="11900" w:h="16838" w:orient="portrait"/>
          <w:cols w:equalWidth="0" w:num="1">
            <w:col w:w="11280"/>
          </w:cols>
          <w:pgMar w:left="300" w:top="1133" w:right="319" w:bottom="1440" w:gutter="0" w:footer="0" w:header="0"/>
        </w:sectPr>
      </w:pPr>
    </w:p>
    <w:bookmarkStart w:id="60" w:name="page61"/>
    <w:bookmarkEnd w:id="60"/>
    <w:p>
      <w:pPr>
        <w:jc w:val="both"/>
        <w:ind w:left="-509" w:firstLine="509"/>
        <w:spacing w:after="0" w:line="276" w:lineRule="auto"/>
        <w:tabs>
          <w:tab w:leader="none" w:pos="403" w:val="left"/>
        </w:tabs>
        <w:numPr>
          <w:ilvl w:val="0"/>
          <w:numId w:val="53"/>
        </w:numPr>
        <w:rPr>
          <w:rFonts w:ascii="Arial" w:cs="Arial" w:eastAsia="Arial" w:hAnsi="Arial"/>
          <w:sz w:val="15"/>
          <w:szCs w:val="15"/>
          <w:color w:val="auto"/>
        </w:rPr>
      </w:pPr>
      <w:r>
        <w:rPr>
          <w:rFonts w:ascii="Arial" w:cs="Arial" w:eastAsia="Arial" w:hAnsi="Arial"/>
          <w:sz w:val="15"/>
          <w:szCs w:val="15"/>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Deloitte &amp; Touche LLP shall have furnished to the Representatives a letter or letters, dated the respective dates of delivery thereof, in form and substance satisfactory to the Representatives;</w:t>
      </w:r>
    </w:p>
    <w:p>
      <w:pPr>
        <w:spacing w:after="0" w:line="130" w:lineRule="exact"/>
        <w:rPr>
          <w:rFonts w:ascii="Arial" w:cs="Arial" w:eastAsia="Arial" w:hAnsi="Arial"/>
          <w:sz w:val="15"/>
          <w:szCs w:val="15"/>
          <w:color w:val="auto"/>
        </w:rPr>
      </w:pPr>
    </w:p>
    <w:p>
      <w:pPr>
        <w:jc w:val="both"/>
        <w:ind w:left="-509" w:firstLine="509"/>
        <w:spacing w:after="0" w:line="276" w:lineRule="auto"/>
        <w:tabs>
          <w:tab w:leader="none" w:pos="365" w:val="left"/>
        </w:tabs>
        <w:numPr>
          <w:ilvl w:val="0"/>
          <w:numId w:val="53"/>
        </w:numPr>
        <w:rPr>
          <w:rFonts w:ascii="Arial" w:cs="Arial" w:eastAsia="Arial" w:hAnsi="Arial"/>
          <w:sz w:val="15"/>
          <w:szCs w:val="15"/>
          <w:color w:val="auto"/>
        </w:rPr>
      </w:pPr>
      <w:r>
        <w:rPr>
          <w:rFonts w:ascii="Arial" w:cs="Arial" w:eastAsia="Arial" w:hAnsi="Arial"/>
          <w:sz w:val="15"/>
          <w:szCs w:val="15"/>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the Company shall have furnished to the Representatives a certificate of the Chief Financial Officer of the Company in form and substance reasonably satisfactory to the Representatives;</w:t>
      </w:r>
    </w:p>
    <w:p>
      <w:pPr>
        <w:spacing w:after="0" w:line="130" w:lineRule="exact"/>
        <w:rPr>
          <w:rFonts w:ascii="Arial" w:cs="Arial" w:eastAsia="Arial" w:hAnsi="Arial"/>
          <w:sz w:val="15"/>
          <w:szCs w:val="15"/>
          <w:color w:val="auto"/>
        </w:rPr>
      </w:pPr>
    </w:p>
    <w:p>
      <w:pPr>
        <w:jc w:val="both"/>
        <w:ind w:left="-509" w:firstLine="509"/>
        <w:spacing w:after="0" w:line="260" w:lineRule="auto"/>
        <w:tabs>
          <w:tab w:leader="none" w:pos="363" w:val="left"/>
        </w:tabs>
        <w:numPr>
          <w:ilvl w:val="0"/>
          <w:numId w:val="53"/>
        </w:numPr>
        <w:rPr>
          <w:rFonts w:ascii="Arial" w:cs="Arial" w:eastAsia="Arial" w:hAnsi="Arial"/>
          <w:sz w:val="15"/>
          <w:szCs w:val="15"/>
          <w:color w:val="auto"/>
        </w:rPr>
      </w:pPr>
      <w:r>
        <w:rPr>
          <w:rFonts w:ascii="Arial" w:cs="Arial" w:eastAsia="Arial" w:hAnsi="Arial"/>
          <w:sz w:val="15"/>
          <w:szCs w:val="15"/>
          <w:color w:val="auto"/>
        </w:rPr>
        <w:t>(i) Neither the Company nor any of its subsidiaries shall have sustained since the date of the latest audited financial statements 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(A) the exercise, vesting or settlement, if any, of stock options or restricted stock units (including any “net” or “cashless” exercises or settlements) or the award, if any, of stock options or restricted stock units, in each case in the ordinary course of business pursuant to the Company’s equity plans that are described in the Pricing Prospectus and the Prospectus, (B) the repurchase of shares of capital stock upon termination of the holder’s employment or service with the Company pursuant to agreements providing for an option to repurchase or a right of first refusal on behalf of the Company, or (C) the issuance, if any, of shares of Stock upon the exercise, conversion, exchange or reclassification of Company securities as described in the Pricing Prospectus and the Prospectus) or long-term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or (y) the ability of the Company to perform its obligations under this Agreement, or to consummate the transactions contemplated in the Pricing Prospectus and the Prospectus, the effect of which, in any such case described in clause (i) or (ii), is in the Representatives’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32" w:lineRule="exact"/>
        <w:rPr>
          <w:rFonts w:ascii="Arial" w:cs="Arial" w:eastAsia="Arial" w:hAnsi="Arial"/>
          <w:sz w:val="15"/>
          <w:szCs w:val="15"/>
          <w:color w:val="auto"/>
        </w:rPr>
      </w:pPr>
    </w:p>
    <w:p>
      <w:pPr>
        <w:jc w:val="both"/>
        <w:ind w:left="-509" w:firstLine="509"/>
        <w:spacing w:after="0" w:line="270" w:lineRule="auto"/>
        <w:tabs>
          <w:tab w:leader="none" w:pos="367" w:val="left"/>
        </w:tabs>
        <w:numPr>
          <w:ilvl w:val="0"/>
          <w:numId w:val="53"/>
        </w:numPr>
        <w:rPr>
          <w:rFonts w:ascii="Arial" w:cs="Arial" w:eastAsia="Arial" w:hAnsi="Arial"/>
          <w:sz w:val="15"/>
          <w:szCs w:val="15"/>
          <w:color w:val="auto"/>
        </w:rPr>
      </w:pPr>
      <w:r>
        <w:rPr>
          <w:rFonts w:ascii="Arial" w:cs="Arial" w:eastAsia="Arial" w:hAnsi="Arial"/>
          <w:sz w:val="15"/>
          <w:szCs w:val="15"/>
          <w:color w:val="auto"/>
        </w:rPr>
        <w:t>On or after the Applicable Time there shall not have occurred any of the following: (i) a suspension or material limitation in trading in securities generally on the New York Stock Exchange or the Nasdaq Global Market;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w:t>
      </w:r>
    </w:p>
    <w:p>
      <w:pPr>
        <w:sectPr>
          <w:pgSz w:w="11900" w:h="16838" w:orient="portrait"/>
          <w:cols w:equalWidth="0" w:num="1">
            <w:col w:w="10771"/>
          </w:cols>
          <w:pgMar w:left="809" w:top="1133" w:right="319" w:bottom="1440" w:gutter="0" w:footer="0" w:header="0"/>
        </w:sectPr>
      </w:pPr>
    </w:p>
    <w:bookmarkStart w:id="61" w:name="page62"/>
    <w:bookmarkEnd w:id="61"/>
    <w:p>
      <w:pPr>
        <w:jc w:val="both"/>
        <w:spacing w:after="0" w:line="276" w:lineRule="auto"/>
        <w:rPr>
          <w:sz w:val="20"/>
          <w:szCs w:val="20"/>
          <w:color w:val="auto"/>
        </w:rPr>
      </w:pPr>
      <w:r>
        <w:rPr>
          <w:rFonts w:ascii="Arial" w:cs="Arial" w:eastAsia="Arial" w:hAnsi="Arial"/>
          <w:sz w:val="15"/>
          <w:szCs w:val="15"/>
          <w:color w:val="auto"/>
        </w:rPr>
        <w:t>or crisis or any change in financial, political or economic conditions in the United States or elsewhere, if the effect of any such event specified in clause (iv) or (v) in the Representatives’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31" w:lineRule="exact"/>
        <w:rPr>
          <w:sz w:val="20"/>
          <w:szCs w:val="20"/>
          <w:color w:val="auto"/>
        </w:rPr>
      </w:pPr>
    </w:p>
    <w:p>
      <w:pPr>
        <w:ind w:left="820" w:hanging="311"/>
        <w:spacing w:after="0"/>
        <w:tabs>
          <w:tab w:leader="none" w:pos="8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Shares to be sold at such Time of Delivery shall have been duly listed on the Exchange;</w:t>
      </w:r>
    </w:p>
    <w:p>
      <w:pPr>
        <w:spacing w:after="0" w:line="174" w:lineRule="exact"/>
        <w:rPr>
          <w:rFonts w:ascii="Arial" w:cs="Arial" w:eastAsia="Arial" w:hAnsi="Arial"/>
          <w:sz w:val="15"/>
          <w:szCs w:val="15"/>
          <w:color w:val="auto"/>
        </w:rPr>
      </w:pPr>
    </w:p>
    <w:p>
      <w:pPr>
        <w:ind w:firstLine="509"/>
        <w:spacing w:after="0" w:line="304" w:lineRule="auto"/>
        <w:tabs>
          <w:tab w:leader="none" w:pos="812"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Company shall have obtained and delivered to the Underwriters executed copies of an agreement from each officer, director, Selling Stockholder and certain other stockholders of the Company, substantially to the effect set forth in Annex I hereto in form and substance satisfactory to the Representatives;</w:t>
      </w:r>
    </w:p>
    <w:p>
      <w:pPr>
        <w:spacing w:after="0" w:line="110" w:lineRule="exact"/>
        <w:rPr>
          <w:rFonts w:ascii="Arial" w:cs="Arial" w:eastAsia="Arial" w:hAnsi="Arial"/>
          <w:sz w:val="15"/>
          <w:szCs w:val="15"/>
          <w:color w:val="auto"/>
        </w:rPr>
      </w:pPr>
    </w:p>
    <w:p>
      <w:pPr>
        <w:ind w:firstLine="509"/>
        <w:spacing w:after="0" w:line="289" w:lineRule="auto"/>
        <w:tabs>
          <w:tab w:leader="none" w:pos="891"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Company shall have complied with the provisions of Section 5(c) hereof with respect to the furnishing of prospectuses on the New York Business Day next succeeding the date of this Agreement; and</w:t>
      </w:r>
    </w:p>
    <w:p>
      <w:pPr>
        <w:spacing w:after="0" w:line="121" w:lineRule="exact"/>
        <w:rPr>
          <w:rFonts w:ascii="Arial" w:cs="Arial" w:eastAsia="Arial" w:hAnsi="Arial"/>
          <w:sz w:val="15"/>
          <w:szCs w:val="15"/>
          <w:color w:val="auto"/>
        </w:rPr>
      </w:pPr>
    </w:p>
    <w:p>
      <w:pPr>
        <w:jc w:val="both"/>
        <w:ind w:firstLine="509"/>
        <w:spacing w:after="0" w:line="265" w:lineRule="auto"/>
        <w:tabs>
          <w:tab w:leader="none" w:pos="832"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Company and the Selling Stockholder shall have furnished or caused to be furnished to the Representatives at such Time of Delivery certificates of officers of the Company and of the Selling Stockholder, respectively, in such party's capacity on behalf of the Company and of the Selling Stockholder, respectively, and not in their individual capacity, reasonably satisfactory to the Representatives as to the accuracy of the representations and warranties of the Company and the Selling Stockholder, respectively, herein at and as of such Time of Delivery, as to the performance by the Company and the Selling Stockholder of all of their respective obligations hereunder to be performed at or prior to such Time of Delivery, as to such other matters as the Representatives may reasonably request, and the Company shall have furnished or caused to be furnished certificates as to the matters set forth in subsections (a) and (g) of this Section 8.</w:t>
      </w:r>
    </w:p>
    <w:p>
      <w:pPr>
        <w:spacing w:after="0" w:line="130" w:lineRule="exact"/>
        <w:rPr>
          <w:sz w:val="20"/>
          <w:szCs w:val="20"/>
          <w:color w:val="auto"/>
        </w:rPr>
      </w:pPr>
    </w:p>
    <w:p>
      <w:pPr>
        <w:jc w:val="both"/>
        <w:ind w:firstLine="509"/>
        <w:spacing w:after="0" w:line="261" w:lineRule="auto"/>
        <w:tabs>
          <w:tab w:leader="none" w:pos="827" w:val="left"/>
        </w:tabs>
        <w:numPr>
          <w:ilvl w:val="0"/>
          <w:numId w:val="55"/>
        </w:numPr>
        <w:rPr>
          <w:rFonts w:ascii="Arial" w:cs="Arial" w:eastAsia="Arial" w:hAnsi="Arial"/>
          <w:sz w:val="15"/>
          <w:szCs w:val="15"/>
          <w:color w:val="auto"/>
        </w:rPr>
      </w:pPr>
      <w:r>
        <w:rPr>
          <w:rFonts w:ascii="Arial" w:cs="Arial" w:eastAsia="Arial" w:hAnsi="Arial"/>
          <w:sz w:val="15"/>
          <w:szCs w:val="15"/>
          <w:color w:val="auto"/>
        </w:rPr>
        <w:t xml:space="preserve">(a) The Company will indemnify and hold harmless each Underwriter and the Selling Stockholder against any losses, claims, damages or liabilities, joint or several, to which such Underwriter or the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in the case of the Registration Statement (and any amendments and supplements thereto) only, not misleading and, in the case of such other documents, not misleading in light of the circumstances under which such statements were made, and will reimburse each Underwriter or the Selling Stockholder for any legal or other expenses reasonably incurred by such Underwriter or the Selling Stockholder in connection with investigating or defending any such action or claim as such expenses are incurred;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any Preliminary</w:t>
      </w:r>
    </w:p>
    <w:p>
      <w:pPr>
        <w:sectPr>
          <w:pgSz w:w="11900" w:h="16838" w:orient="portrait"/>
          <w:cols w:equalWidth="0" w:num="1">
            <w:col w:w="11280"/>
          </w:cols>
          <w:pgMar w:left="300" w:top="1133" w:right="319" w:bottom="1440" w:gutter="0" w:footer="0" w:header="0"/>
        </w:sectPr>
      </w:pPr>
    </w:p>
    <w:bookmarkStart w:id="62" w:name="page63"/>
    <w:bookmarkEnd w:id="62"/>
    <w:p>
      <w:pPr>
        <w:jc w:val="both"/>
        <w:spacing w:after="0" w:line="265" w:lineRule="auto"/>
        <w:rPr>
          <w:sz w:val="20"/>
          <w:szCs w:val="20"/>
          <w:color w:val="auto"/>
        </w:rPr>
      </w:pPr>
      <w:r>
        <w:rPr>
          <w:rFonts w:ascii="Arial" w:cs="Arial" w:eastAsia="Arial" w:hAnsi="Arial"/>
          <w:sz w:val="15"/>
          <w:szCs w:val="15"/>
          <w:color w:val="auto"/>
        </w:rPr>
        <w:t>Prospectus, the Pricing Prospectus or the Prospectus, or any amendment or supplement thereto, or any Issuer Free Writing Prospectus, any roadshow or any Testing-the-Waters Communication, in reliance upon and in conformity with the Underwriter Information.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[fifth] paragraph under the caption “Underwriting,” and the information contained in the [fourteenth, fifteenth and sixteenth] paragraphs under the caption “Underwriting.”</w:t>
      </w:r>
    </w:p>
    <w:p>
      <w:pPr>
        <w:spacing w:after="0" w:line="141" w:lineRule="exact"/>
        <w:rPr>
          <w:sz w:val="20"/>
          <w:szCs w:val="20"/>
          <w:color w:val="auto"/>
        </w:rPr>
      </w:pPr>
    </w:p>
    <w:p>
      <w:pPr>
        <w:jc w:val="both"/>
        <w:ind w:firstLine="509"/>
        <w:spacing w:after="0" w:line="259" w:lineRule="auto"/>
        <w:tabs>
          <w:tab w:leader="none" w:pos="884"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Selling Stockholder will indemnify and hold harmless each Underwriter and the Company against any losses, claims, damages or liabilities, joint or several, to which such Underwriter or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or any Testing-the-Waters Communication, or arise out of or are based upon the omission or alleged omission to state therein a material fact required to be stated therein or necessary to make the statements therein, in the case of the Registration Statement (and any amendments and supplements thereto) only, not misleading and, in the case of such other documents, not misleading in light of the circumstances under which such statements were made,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Selling Stockholder Information; and will reimburse each Underwriter and the Company for any legal or other expenses reasonably incurred by such Underwriter or the Company in connection with investigating or defending any such action or claim as such expenses are incurred; provided, that the aggregate liability of the Selling Stockholder pursuant to this subsection (b) and subsection (e) below shall not exceed the product of the number of Shares sold by the Selling Stockholder and the offering price of the Shares as set forth in the Prospectus (net of any underwriting discounts and commissions but before deducting expenses) (the “Selling Stockholder Proceeds”).</w:t>
      </w:r>
    </w:p>
    <w:p>
      <w:pPr>
        <w:spacing w:after="0" w:line="150" w:lineRule="exact"/>
        <w:rPr>
          <w:rFonts w:ascii="Arial" w:cs="Arial" w:eastAsia="Arial" w:hAnsi="Arial"/>
          <w:sz w:val="15"/>
          <w:szCs w:val="15"/>
          <w:color w:val="auto"/>
        </w:rPr>
      </w:pPr>
    </w:p>
    <w:p>
      <w:pPr>
        <w:jc w:val="both"/>
        <w:ind w:firstLine="509"/>
        <w:spacing w:after="0" w:line="262" w:lineRule="auto"/>
        <w:tabs>
          <w:tab w:leader="none" w:pos="939" w:val="left"/>
        </w:tabs>
        <w:numPr>
          <w:ilvl w:val="0"/>
          <w:numId w:val="56"/>
        </w:numPr>
        <w:rPr>
          <w:rFonts w:ascii="Arial" w:cs="Arial" w:eastAsia="Arial" w:hAnsi="Arial"/>
          <w:sz w:val="15"/>
          <w:szCs w:val="15"/>
          <w:color w:val="auto"/>
        </w:rPr>
      </w:pPr>
      <w:r>
        <w:rPr>
          <w:rFonts w:ascii="Arial" w:cs="Arial" w:eastAsia="Arial" w:hAnsi="Arial"/>
          <w:sz w:val="15"/>
          <w:szCs w:val="15"/>
          <w:color w:val="auto"/>
        </w:rPr>
        <w:t>Each Underwriter, severally and not jointly, will indemnify and hold harmless the Company and the Selling Stockholder against any losses, claims, damages or liabilities to which the Company or the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in the case of the Registration Statement (and any amendments and supplements thereto) only, not misleading and, in the case of such other documents, not misleading in light of the circumstances under which such statements were</w:t>
      </w:r>
    </w:p>
    <w:p>
      <w:pPr>
        <w:sectPr>
          <w:pgSz w:w="11900" w:h="16838" w:orient="portrait"/>
          <w:cols w:equalWidth="0" w:num="1">
            <w:col w:w="11280"/>
          </w:cols>
          <w:pgMar w:left="300" w:top="1133" w:right="319" w:bottom="1440" w:gutter="0" w:footer="0" w:header="0"/>
        </w:sectPr>
      </w:pPr>
    </w:p>
    <w:bookmarkStart w:id="63" w:name="page64"/>
    <w:bookmarkEnd w:id="63"/>
    <w:p>
      <w:pPr>
        <w:jc w:val="both"/>
        <w:spacing w:after="0" w:line="266" w:lineRule="auto"/>
        <w:rPr>
          <w:sz w:val="20"/>
          <w:szCs w:val="20"/>
          <w:color w:val="auto"/>
        </w:rPr>
      </w:pPr>
      <w:r>
        <w:rPr>
          <w:rFonts w:ascii="Arial" w:cs="Arial" w:eastAsia="Arial" w:hAnsi="Arial"/>
          <w:sz w:val="15"/>
          <w:szCs w:val="15"/>
          <w:color w:val="auto"/>
        </w:rPr>
        <w:t>made,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and the Selling Stockholder for any legal or other expenses reasonably incurred by the Company or the Selling Stockholder in connection with investigating or defending any such action or claim as such expenses are incurred.</w:t>
      </w:r>
    </w:p>
    <w:p>
      <w:pPr>
        <w:spacing w:after="0" w:line="138" w:lineRule="exact"/>
        <w:rPr>
          <w:sz w:val="20"/>
          <w:szCs w:val="20"/>
          <w:color w:val="auto"/>
        </w:rPr>
      </w:pPr>
    </w:p>
    <w:p>
      <w:pPr>
        <w:jc w:val="both"/>
        <w:ind w:firstLine="509"/>
        <w:spacing w:after="0" w:line="260" w:lineRule="auto"/>
        <w:tabs>
          <w:tab w:leader="none" w:pos="936" w:val="left"/>
        </w:tabs>
        <w:numPr>
          <w:ilvl w:val="0"/>
          <w:numId w:val="57"/>
        </w:numPr>
        <w:rPr>
          <w:rFonts w:ascii="Arial" w:cs="Arial" w:eastAsia="Arial" w:hAnsi="Arial"/>
          <w:sz w:val="15"/>
          <w:szCs w:val="15"/>
          <w:color w:val="auto"/>
        </w:rPr>
      </w:pPr>
      <w:r>
        <w:rPr>
          <w:rFonts w:ascii="Arial" w:cs="Arial" w:eastAsia="Arial" w:hAnsi="Arial"/>
          <w:sz w:val="15"/>
          <w:szCs w:val="15"/>
          <w:color w:val="auto"/>
        </w:rPr>
        <w:t>Promptly after receipt by an indemnified party under subsection (a), (b) or (c)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43" w:lineRule="exact"/>
        <w:rPr>
          <w:rFonts w:ascii="Arial" w:cs="Arial" w:eastAsia="Arial" w:hAnsi="Arial"/>
          <w:sz w:val="15"/>
          <w:szCs w:val="15"/>
          <w:color w:val="auto"/>
        </w:rPr>
      </w:pPr>
    </w:p>
    <w:p>
      <w:pPr>
        <w:jc w:val="both"/>
        <w:ind w:firstLine="509"/>
        <w:spacing w:after="0" w:line="262" w:lineRule="auto"/>
        <w:tabs>
          <w:tab w:leader="none" w:pos="890" w:val="left"/>
        </w:tabs>
        <w:numPr>
          <w:ilvl w:val="0"/>
          <w:numId w:val="57"/>
        </w:numPr>
        <w:rPr>
          <w:rFonts w:ascii="Arial" w:cs="Arial" w:eastAsia="Arial" w:hAnsi="Arial"/>
          <w:sz w:val="15"/>
          <w:szCs w:val="15"/>
          <w:color w:val="auto"/>
        </w:rPr>
      </w:pPr>
      <w:r>
        <w:rPr>
          <w:rFonts w:ascii="Arial" w:cs="Arial" w:eastAsia="Arial" w:hAnsi="Arial"/>
          <w:sz w:val="15"/>
          <w:szCs w:val="15"/>
          <w:color w:val="auto"/>
        </w:rPr>
        <w:t>If the indemnification provided for in this Section 9 is unavailable to or insufficient to hold harmless an indemnified party under subsection (a), (b) or (c)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Stockholder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and the Selling Stockholder on the one hand and the Underwriters on the other in connection with the statements or omissions</w:t>
      </w:r>
    </w:p>
    <w:p>
      <w:pPr>
        <w:sectPr>
          <w:pgSz w:w="11900" w:h="16838" w:orient="portrait"/>
          <w:cols w:equalWidth="0" w:num="1">
            <w:col w:w="11280"/>
          </w:cols>
          <w:pgMar w:left="300" w:top="1133" w:right="319" w:bottom="1440" w:gutter="0" w:footer="0" w:header="0"/>
        </w:sectPr>
      </w:pPr>
    </w:p>
    <w:bookmarkStart w:id="64" w:name="page65"/>
    <w:bookmarkEnd w:id="64"/>
    <w:p>
      <w:pPr>
        <w:jc w:val="both"/>
        <w:spacing w:after="0" w:line="260" w:lineRule="auto"/>
        <w:rPr>
          <w:sz w:val="20"/>
          <w:szCs w:val="20"/>
          <w:color w:val="auto"/>
        </w:rPr>
      </w:pPr>
      <w:r>
        <w:rPr>
          <w:rFonts w:ascii="Arial" w:cs="Arial" w:eastAsia="Arial" w:hAnsi="Arial"/>
          <w:sz w:val="15"/>
          <w:szCs w:val="15"/>
          <w:color w:val="auto"/>
        </w:rPr>
        <w:t xml:space="preserve">which resulted in such losses, claims, damages or liabilities (or actions in respect thereof), as well as any other relevant equitable considerations. The relative benefits received by the Company and the Selling Stockholder on the one hand and the Underwriters on the other shall be deemed to be in the same proportion as the total net proceeds from the offering (after deducting underwriting discounts and commissions but before deducting expenses) received by the Company and the Selling Stockholder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Selling Stockholder on the one hand or the Underwriters on the other and the parties’ relative intent, knowledge, access to information and opportunity to correct or prevent such statement or omission. The Company, the Selling Stockholder and the Underwriters agree that it would not be just and equitable if contribution pursuant to this subsection (e) were determined by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allocation (even if the Underwriters were treated as one entity for such purpose) or by 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 (e) shall be deemed to include any legal or other expenses reasonably incurred by such indemnified party in connection with investigating or defending any such action or claim. Notwithstanding the provisions of this subsection (e),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w:t>
      </w:r>
    </w:p>
    <w:p>
      <w:pPr>
        <w:spacing w:after="0" w:line="138" w:lineRule="exact"/>
        <w:rPr>
          <w:sz w:val="20"/>
          <w:szCs w:val="20"/>
          <w:color w:val="auto"/>
        </w:rPr>
      </w:pPr>
    </w:p>
    <w:p>
      <w:pPr>
        <w:jc w:val="both"/>
        <w:ind w:firstLine="509"/>
        <w:spacing w:after="0" w:line="266" w:lineRule="auto"/>
        <w:tabs>
          <w:tab w:leader="none" w:pos="847"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obligations of the Company and the Selling Stockholder under this Section 9 shall be in addition to any liability which the Company and the Selling Stockholder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or the Selling Stockholder within the meaning of the Act.</w:t>
      </w:r>
    </w:p>
    <w:p>
      <w:pPr>
        <w:spacing w:after="0" w:line="138" w:lineRule="exact"/>
        <w:rPr>
          <w:rFonts w:ascii="Arial" w:cs="Arial" w:eastAsia="Arial" w:hAnsi="Arial"/>
          <w:sz w:val="15"/>
          <w:szCs w:val="15"/>
          <w:color w:val="auto"/>
        </w:rPr>
      </w:pPr>
    </w:p>
    <w:p>
      <w:pPr>
        <w:ind w:firstLine="509"/>
        <w:spacing w:after="0" w:line="304" w:lineRule="auto"/>
        <w:tabs>
          <w:tab w:leader="none" w:pos="877" w:val="left"/>
        </w:tabs>
        <w:numPr>
          <w:ilvl w:val="0"/>
          <w:numId w:val="58"/>
        </w:numPr>
        <w:rPr>
          <w:rFonts w:ascii="Arial" w:cs="Arial" w:eastAsia="Arial" w:hAnsi="Arial"/>
          <w:sz w:val="15"/>
          <w:szCs w:val="15"/>
          <w:color w:val="auto"/>
        </w:rPr>
      </w:pPr>
      <w:r>
        <w:rPr>
          <w:rFonts w:ascii="Arial" w:cs="Arial" w:eastAsia="Arial" w:hAnsi="Arial"/>
          <w:sz w:val="15"/>
          <w:szCs w:val="15"/>
          <w:color w:val="auto"/>
        </w:rPr>
        <w:t>Notwithstanding anything to the contrary, the aggregate liability of the Selling Stockholder under Sections 9(b) and 9(e) shall not in any event exceed an amount equal to the Selling Stockholder Proceeds.</w:t>
      </w:r>
    </w:p>
    <w:p>
      <w:pPr>
        <w:spacing w:after="0" w:line="100" w:lineRule="exact"/>
        <w:rPr>
          <w:sz w:val="20"/>
          <w:szCs w:val="20"/>
          <w:color w:val="auto"/>
        </w:rPr>
      </w:pPr>
    </w:p>
    <w:p>
      <w:pPr>
        <w:jc w:val="both"/>
        <w:ind w:firstLine="509"/>
        <w:spacing w:after="0" w:line="276" w:lineRule="auto"/>
        <w:tabs>
          <w:tab w:leader="none" w:pos="982" w:val="left"/>
        </w:tabs>
        <w:numPr>
          <w:ilvl w:val="0"/>
          <w:numId w:val="59"/>
        </w:numPr>
        <w:rPr>
          <w:rFonts w:ascii="Arial" w:cs="Arial" w:eastAsia="Arial" w:hAnsi="Arial"/>
          <w:sz w:val="15"/>
          <w:szCs w:val="15"/>
          <w:color w:val="auto"/>
        </w:rPr>
      </w:pPr>
      <w:r>
        <w:rPr>
          <w:rFonts w:ascii="Arial" w:cs="Arial" w:eastAsia="Arial" w:hAnsi="Arial"/>
          <w:sz w:val="15"/>
          <w:szCs w:val="15"/>
          <w:color w:val="auto"/>
        </w:rPr>
        <w:t>(a) If any Underwriter shall default in its obligation to purchase the Shares which it has agreed to purchase hereunder at a Time of Delivery, the Representatives may in the Representatives’ discretion arrange for the Representatives or another party or other parties to purchase such Shares on the terms contained herein. If within thirty-six hours after such default by any Underwriter the Representatives do not arrange for the purchase of such Shares, then</w:t>
      </w:r>
    </w:p>
    <w:p>
      <w:pPr>
        <w:sectPr>
          <w:pgSz w:w="11900" w:h="16838" w:orient="portrait"/>
          <w:cols w:equalWidth="0" w:num="1">
            <w:col w:w="11280"/>
          </w:cols>
          <w:pgMar w:left="300" w:top="1133" w:right="319" w:bottom="1440" w:gutter="0" w:footer="0" w:header="0"/>
        </w:sectPr>
      </w:pPr>
    </w:p>
    <w:bookmarkStart w:id="65" w:name="page66"/>
    <w:bookmarkEnd w:id="65"/>
    <w:p>
      <w:pPr>
        <w:jc w:val="both"/>
        <w:spacing w:after="0" w:line="263" w:lineRule="auto"/>
        <w:rPr>
          <w:sz w:val="20"/>
          <w:szCs w:val="20"/>
          <w:color w:val="auto"/>
        </w:rPr>
      </w:pPr>
      <w:r>
        <w:rPr>
          <w:rFonts w:ascii="Arial" w:cs="Arial" w:eastAsia="Arial" w:hAnsi="Arial"/>
          <w:sz w:val="15"/>
          <w:szCs w:val="15"/>
          <w:color w:val="auto"/>
        </w:rPr>
        <w:t>the Selling Stockholder shall be entitled to a further period of thirty-six hours within which to procure another party or other parties satisfactory to the Representatives to purchase such Shares on such terms. In the event that, within the respective prescribed periods, the Representatives notify the Selling Stockholder that the Representatives have so arranged for the purchase of such Shares, or the Selling Stockholder notifies the Representatives that it has so arranged for the purchase of such Shares, the Representatives or the Selling Stockholder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40" w:lineRule="exact"/>
        <w:rPr>
          <w:sz w:val="20"/>
          <w:szCs w:val="20"/>
          <w:color w:val="auto"/>
        </w:rPr>
      </w:pPr>
    </w:p>
    <w:p>
      <w:pPr>
        <w:jc w:val="both"/>
        <w:ind w:firstLine="509"/>
        <w:spacing w:after="0" w:line="263" w:lineRule="auto"/>
        <w:tabs>
          <w:tab w:leader="none" w:pos="919" w:val="left"/>
        </w:tabs>
        <w:numPr>
          <w:ilvl w:val="0"/>
          <w:numId w:val="60"/>
        </w:numPr>
        <w:rPr>
          <w:rFonts w:ascii="Arial" w:cs="Arial" w:eastAsia="Arial" w:hAnsi="Arial"/>
          <w:sz w:val="15"/>
          <w:szCs w:val="15"/>
          <w:color w:val="auto"/>
        </w:rPr>
      </w:pPr>
      <w:r>
        <w:rPr>
          <w:rFonts w:ascii="Arial" w:cs="Arial" w:eastAsia="Arial" w:hAnsi="Arial"/>
          <w:sz w:val="15"/>
          <w:szCs w:val="15"/>
          <w:color w:val="auto"/>
        </w:rPr>
        <w:t>If, after giving effect to any arrangements for the purchase of the Shares of a defaulting Underwriter or Underwriters by the Representatives and the Selling Stockholder as provided in subsection (a) above, the aggregate number of such Shares which remains unpurchased does not exceed one-eleventh of the aggregate number of all the Shares to be purchased at such Time of Delivery, then the Selling Stockholder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328" w:lineRule="exact"/>
        <w:rPr>
          <w:rFonts w:ascii="Arial" w:cs="Arial" w:eastAsia="Arial" w:hAnsi="Arial"/>
          <w:sz w:val="15"/>
          <w:szCs w:val="15"/>
          <w:color w:val="auto"/>
        </w:rPr>
      </w:pPr>
    </w:p>
    <w:p>
      <w:pPr>
        <w:jc w:val="both"/>
        <w:ind w:firstLine="509"/>
        <w:spacing w:after="0" w:line="263" w:lineRule="auto"/>
        <w:tabs>
          <w:tab w:leader="none" w:pos="953" w:val="left"/>
        </w:tabs>
        <w:numPr>
          <w:ilvl w:val="0"/>
          <w:numId w:val="60"/>
        </w:numPr>
        <w:rPr>
          <w:rFonts w:ascii="Arial" w:cs="Arial" w:eastAsia="Arial" w:hAnsi="Arial"/>
          <w:sz w:val="15"/>
          <w:szCs w:val="15"/>
          <w:color w:val="auto"/>
        </w:rPr>
      </w:pPr>
      <w:r>
        <w:rPr>
          <w:rFonts w:ascii="Arial" w:cs="Arial" w:eastAsia="Arial" w:hAnsi="Arial"/>
          <w:sz w:val="15"/>
          <w:szCs w:val="15"/>
          <w:color w:val="auto"/>
        </w:rPr>
        <w:t>If, after giving effect to any arrangements for the purchase of the Shares of a defaulting Underwriter or Underwriters by the Representatives, the Company and the Selling Stockholder as provided in subsection (a) above, the aggregate number of such Shares which remains unpurchased exceeds one-eleventh of the aggregate number of all the Shares to be purchased at such Time of Delivery, or if the Selling Stockholder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Selling Stockholder to sell the Optional Shares) shall thereupon terminate, without liability on the part of any non-defaulting Underwriter, the Company or the Selling Stockholder, except for the expenses to be borne by the Company, the Selling Stockholder and the Underwriters as provided in Section 7 hereof and the indemnity and contribution agreements in Section 9 hereof; but nothing herein shall relieve a defaulting Underwriter from liability for its default.</w:t>
      </w:r>
    </w:p>
    <w:p>
      <w:pPr>
        <w:spacing w:after="0" w:line="140" w:lineRule="exact"/>
        <w:rPr>
          <w:sz w:val="20"/>
          <w:szCs w:val="20"/>
          <w:color w:val="auto"/>
        </w:rPr>
      </w:pPr>
    </w:p>
    <w:p>
      <w:pPr>
        <w:jc w:val="both"/>
        <w:ind w:firstLine="509"/>
        <w:spacing w:after="0" w:line="268" w:lineRule="auto"/>
        <w:tabs>
          <w:tab w:leader="none" w:pos="1041"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respective indemnities, rights of contribution, agreements, representations, warranties and other statements of the Company, the Selling Stockholder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the Selling Stockholder, or any officer or director or controlling person of the Company, or any</w:t>
      </w:r>
    </w:p>
    <w:p>
      <w:pPr>
        <w:sectPr>
          <w:pgSz w:w="11900" w:h="16838" w:orient="portrait"/>
          <w:cols w:equalWidth="0" w:num="1">
            <w:col w:w="11280"/>
          </w:cols>
          <w:pgMar w:left="300" w:top="1133" w:right="319" w:bottom="1440" w:gutter="0" w:footer="0" w:header="0"/>
        </w:sectPr>
      </w:pPr>
    </w:p>
    <w:bookmarkStart w:id="66" w:name="page67"/>
    <w:bookmarkEnd w:id="66"/>
    <w:p>
      <w:pPr>
        <w:spacing w:after="0"/>
        <w:rPr>
          <w:sz w:val="20"/>
          <w:szCs w:val="20"/>
          <w:color w:val="auto"/>
        </w:rPr>
      </w:pPr>
      <w:r>
        <w:rPr>
          <w:rFonts w:ascii="Arial" w:cs="Arial" w:eastAsia="Arial" w:hAnsi="Arial"/>
          <w:sz w:val="15"/>
          <w:szCs w:val="15"/>
          <w:color w:val="auto"/>
        </w:rPr>
        <w:t>controlling person of the Selling Stockholder, and shall survive delivery of and payment for the Shares.</w:t>
      </w:r>
    </w:p>
    <w:p>
      <w:pPr>
        <w:spacing w:after="0" w:line="185" w:lineRule="exact"/>
        <w:rPr>
          <w:sz w:val="20"/>
          <w:szCs w:val="20"/>
          <w:color w:val="auto"/>
        </w:rPr>
      </w:pPr>
    </w:p>
    <w:p>
      <w:pPr>
        <w:jc w:val="both"/>
        <w:ind w:firstLine="509"/>
        <w:spacing w:after="0" w:line="264" w:lineRule="auto"/>
        <w:tabs>
          <w:tab w:leader="none" w:pos="903" w:val="left"/>
        </w:tabs>
        <w:numPr>
          <w:ilvl w:val="1"/>
          <w:numId w:val="62"/>
        </w:numPr>
        <w:rPr>
          <w:rFonts w:ascii="Arial" w:cs="Arial" w:eastAsia="Arial" w:hAnsi="Arial"/>
          <w:sz w:val="15"/>
          <w:szCs w:val="15"/>
          <w:color w:val="auto"/>
        </w:rPr>
      </w:pPr>
      <w:r>
        <w:rPr>
          <w:rFonts w:ascii="Arial" w:cs="Arial" w:eastAsia="Arial" w:hAnsi="Arial"/>
          <w:sz w:val="15"/>
          <w:szCs w:val="15"/>
          <w:color w:val="auto"/>
        </w:rPr>
        <w:t>If this Agreement shall be terminated pursuant to Section 10 hereof, neither the Company nor the Selling Stockholder shall then be under any liability to any Underwriter except as provided in Sections 7 and 9 hereof; but, if for any other reason (other than failure to meet the conditions specified in Section 8(h)(i), (iii),</w:t>
      </w:r>
    </w:p>
    <w:p>
      <w:pPr>
        <w:spacing w:after="0" w:line="1" w:lineRule="exact"/>
        <w:rPr>
          <w:rFonts w:ascii="Arial" w:cs="Arial" w:eastAsia="Arial" w:hAnsi="Arial"/>
          <w:sz w:val="15"/>
          <w:szCs w:val="15"/>
          <w:color w:val="auto"/>
        </w:rPr>
      </w:pPr>
    </w:p>
    <w:p>
      <w:pPr>
        <w:jc w:val="both"/>
        <w:ind w:firstLine="4"/>
        <w:spacing w:after="0" w:line="262" w:lineRule="auto"/>
        <w:tabs>
          <w:tab w:leader="none" w:pos="265" w:val="left"/>
        </w:tabs>
        <w:numPr>
          <w:ilvl w:val="0"/>
          <w:numId w:val="63"/>
        </w:numPr>
        <w:rPr>
          <w:rFonts w:ascii="Arial" w:cs="Arial" w:eastAsia="Arial" w:hAnsi="Arial"/>
          <w:sz w:val="15"/>
          <w:szCs w:val="15"/>
          <w:color w:val="auto"/>
        </w:rPr>
      </w:pPr>
      <w:r>
        <w:rPr>
          <w:rFonts w:ascii="Arial" w:cs="Arial" w:eastAsia="Arial" w:hAnsi="Arial"/>
          <w:sz w:val="15"/>
          <w:szCs w:val="15"/>
          <w:color w:val="auto"/>
        </w:rPr>
        <w:t>and (v)), any Shares are not delivered by or on behalf of the Selling Stockholder as provided herein or the Underwriters decline to purchase the Shares for any reason permitted under this Agreement (other than any failure to meet the conditions specified in Section 8(h)(i),(iii),(iv) and (v)), the Selling Stockholder will reimburse the Underwriters (other than a defaulting Underwriter in connection with a termination under Section 10 hereof) through the Representatives for all reasonable and documented out-of-pocket expenses approved in writing by the Representatives, including fees and disbursements of counsel, reasonably incurred by the Underwriters in making preparations for the purchase, sale and delivery of the Shares not so delivered, but the Company and the Selling Stockholder shall then be under no further liability to any Underwriter except as provided in Sections 7 and 9 hereof.</w:t>
      </w:r>
    </w:p>
    <w:p>
      <w:pPr>
        <w:spacing w:after="0" w:line="131" w:lineRule="exact"/>
        <w:rPr>
          <w:rFonts w:ascii="Arial" w:cs="Arial" w:eastAsia="Arial" w:hAnsi="Arial"/>
          <w:sz w:val="15"/>
          <w:szCs w:val="15"/>
          <w:color w:val="auto"/>
        </w:rPr>
      </w:pPr>
    </w:p>
    <w:p>
      <w:pPr>
        <w:jc w:val="both"/>
        <w:ind w:firstLine="509"/>
        <w:spacing w:after="0" w:line="283" w:lineRule="auto"/>
        <w:tabs>
          <w:tab w:leader="none" w:pos="940" w:val="left"/>
        </w:tabs>
        <w:numPr>
          <w:ilvl w:val="1"/>
          <w:numId w:val="63"/>
        </w:numPr>
        <w:rPr>
          <w:rFonts w:ascii="Arial" w:cs="Arial" w:eastAsia="Arial" w:hAnsi="Arial"/>
          <w:sz w:val="15"/>
          <w:szCs w:val="15"/>
          <w:color w:val="auto"/>
        </w:rPr>
      </w:pPr>
      <w:r>
        <w:rPr>
          <w:rFonts w:ascii="Arial" w:cs="Arial" w:eastAsia="Arial" w:hAnsi="Arial"/>
          <w:sz w:val="15"/>
          <w:szCs w:val="15"/>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 jointly or by J.P. Morgan Securities LLC and Goldman Sachs &amp; Co. LLC on behalf of the Representatives as the Representatives.</w:t>
      </w:r>
    </w:p>
    <w:p>
      <w:pPr>
        <w:spacing w:after="0" w:line="116" w:lineRule="exact"/>
        <w:rPr>
          <w:sz w:val="20"/>
          <w:szCs w:val="20"/>
          <w:color w:val="auto"/>
        </w:rPr>
      </w:pPr>
    </w:p>
    <w:p>
      <w:pPr>
        <w:jc w:val="both"/>
        <w:ind w:firstLine="505"/>
        <w:spacing w:after="0" w:line="261" w:lineRule="auto"/>
        <w:rPr>
          <w:sz w:val="20"/>
          <w:szCs w:val="20"/>
          <w:color w:val="auto"/>
        </w:rPr>
      </w:pPr>
      <w:r>
        <w:rPr>
          <w:rFonts w:ascii="Arial" w:cs="Arial" w:eastAsia="Arial" w:hAnsi="Arial"/>
          <w:sz w:val="15"/>
          <w:szCs w:val="15"/>
          <w:color w:val="auto"/>
        </w:rPr>
        <w:t>All statements, requests, notices and agreements hereunder shall be in writing, and if to the Underwriters shall be delivered or sent by mail, telex or facsimile transmission to the Representatives as the representatives in care of J.P. Morgan Securities LLC, 270 Park Avenue, New York, New York 10017 (fax: (212) 622-8358), Attention: Equity Syndicate Desk and c/o Goldman Sachs &amp; Co. LLC, 200 West Street, New York, New York 10282-2198, Attention: Registration Department; if to the Selling Stockholder shall be delivered or sent by mail, telex or facsimile transmission to counsel for the Selling Stockholder at its address set forth in Schedule II hereto; and if to the Company shall be delivered or sent by mail, telex or facsimile transmission to the address of the Company set forth in the Registration Statement, Attention: Secretary; and if to any stockholder that has delivered a lock-up letter described in Section 8(j) hereof shall be delivered or sent by mail to his, her or its respective address provided in writing by such stockholder to the Company; provided, however, that any notice to an Underwriter pursuant to Section 9(d) hereof shall be delivered or sent by mail, telex or facsimile transmission to such Underwriter at its address set forth in its Underwriters’ Questionnaire, or telex constituting such Questionnaire, which address will be supplied to the Company or the Selling Stockholder by the Representatives upon request. Any such statements, requests, notices or agreements shall take effect upon receipt thereof.</w:t>
      </w:r>
    </w:p>
    <w:p>
      <w:pPr>
        <w:spacing w:after="0" w:line="144" w:lineRule="exact"/>
        <w:rPr>
          <w:sz w:val="20"/>
          <w:szCs w:val="20"/>
          <w:color w:val="auto"/>
        </w:rPr>
      </w:pPr>
    </w:p>
    <w:p>
      <w:pPr>
        <w:jc w:val="both"/>
        <w:ind w:firstLine="505"/>
        <w:spacing w:after="0" w:line="276" w:lineRule="auto"/>
        <w:rPr>
          <w:sz w:val="20"/>
          <w:szCs w:val="20"/>
          <w:color w:val="auto"/>
        </w:rPr>
      </w:pPr>
      <w:r>
        <w:rPr>
          <w:rFonts w:ascii="Arial" w:cs="Arial" w:eastAsia="Arial" w:hAnsi="Arial"/>
          <w:sz w:val="15"/>
          <w:szCs w:val="15"/>
          <w:color w:val="auto"/>
        </w:rPr>
        <w:t>In accordance with the requirements of the USA Patriot Act (Title III of Pub. L. 10756 (signed into law October 26, 2001)), the Underwriters are required to obtain, verify and record information that identifies their respective clients, including the Company and the Selling Stockholder, which information may include the name and address of their respective clients, as well as other information that will allow the Underwriters to properly identify their respective clients.</w:t>
      </w:r>
    </w:p>
    <w:p>
      <w:pPr>
        <w:sectPr>
          <w:pgSz w:w="11900" w:h="16838" w:orient="portrait"/>
          <w:cols w:equalWidth="0" w:num="1">
            <w:col w:w="11280"/>
          </w:cols>
          <w:pgMar w:left="300" w:top="1133" w:right="319" w:bottom="1440" w:gutter="0" w:footer="0" w:header="0"/>
        </w:sectPr>
      </w:pPr>
    </w:p>
    <w:bookmarkStart w:id="67" w:name="page68"/>
    <w:bookmarkEnd w:id="67"/>
    <w:p>
      <w:pPr>
        <w:jc w:val="both"/>
        <w:ind w:left="-509" w:firstLine="509"/>
        <w:spacing w:after="0" w:line="266" w:lineRule="auto"/>
        <w:tabs>
          <w:tab w:leader="none" w:pos="4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This Agreement shall be binding upon, and inure solely to the benefit of, the Underwriters, the Company and the Selling Stockholder and, to the extent provided in Sections 9 and 11 hereof, the officers and directors of the Company and each person who controls the Company, the Selling Stockholder or any Underwriter, or any director, officer, employee,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38" w:lineRule="exact"/>
        <w:rPr>
          <w:rFonts w:ascii="Arial" w:cs="Arial" w:eastAsia="Arial" w:hAnsi="Arial"/>
          <w:sz w:val="15"/>
          <w:szCs w:val="15"/>
          <w:color w:val="auto"/>
        </w:rPr>
      </w:pPr>
    </w:p>
    <w:p>
      <w:pPr>
        <w:ind w:left="-509" w:firstLine="509"/>
        <w:spacing w:after="0" w:line="304" w:lineRule="auto"/>
        <w:tabs>
          <w:tab w:leader="none" w:pos="487" w:val="left"/>
        </w:tabs>
        <w:numPr>
          <w:ilvl w:val="0"/>
          <w:numId w:val="64"/>
        </w:numPr>
        <w:rPr>
          <w:rFonts w:ascii="Arial" w:cs="Arial" w:eastAsia="Arial" w:hAnsi="Arial"/>
          <w:sz w:val="15"/>
          <w:szCs w:val="15"/>
          <w:color w:val="auto"/>
        </w:rPr>
      </w:pPr>
      <w:r>
        <w:rPr>
          <w:rFonts w:ascii="Arial" w:cs="Arial" w:eastAsia="Arial" w:hAnsi="Arial"/>
          <w:sz w:val="15"/>
          <w:szCs w:val="15"/>
          <w:color w:val="auto"/>
        </w:rPr>
        <w:t>Time shall be of the essence of this Agreement. As used herein, the term “business day” shall mean any day when the Commission’s office in Washington, D.C. is open for business.</w:t>
      </w:r>
    </w:p>
    <w:p>
      <w:pPr>
        <w:spacing w:after="0" w:line="99" w:lineRule="exact"/>
        <w:rPr>
          <w:rFonts w:ascii="Arial" w:cs="Arial" w:eastAsia="Arial" w:hAnsi="Arial"/>
          <w:sz w:val="15"/>
          <w:szCs w:val="15"/>
          <w:color w:val="auto"/>
        </w:rPr>
      </w:pPr>
    </w:p>
    <w:p>
      <w:pPr>
        <w:jc w:val="both"/>
        <w:ind w:left="-509" w:firstLine="509"/>
        <w:spacing w:after="0" w:line="261" w:lineRule="auto"/>
        <w:tabs>
          <w:tab w:leader="none" w:pos="3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Company and the Selling Stockholder, severally and not jointly, acknowledge and agree that (i) the purchase and sale of the Shares pursuant to this Agreement is an arm’s-length commercial transaction between the Company and the Selling Stockholder, on the one hand, and the several Underwriters, on the other, (ii) in connection therewith and with the process leading to such transaction each Underwriter is acting solely as a principal and not the agent or fiduciary of the Company or the Selling Stockholder, (iii) no Underwriter has assumed an advisory or fiduciary responsibility in favor of the Company or the Selling Stockholder with respect to the offering contemplated hereby or the process leading thereto (irrespective of whether such Underwriter has advised or is currently advising the Company or the Selling Stockholder on other matters) or any other obligation to the Company or the Selling Stockholder except the obligations expressly set forth in this Agreement, (iv) the Company and the Selling Stockholder have consulted their own legal and financial advisors to the extent they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and the Selling Stockholder agree that they will not claim that the Underwriters, or any of them, has rendered advisory services of any nature or respect, or owes a fiduciary or similar duty to the Company or the Selling Stockholder, in connection with such transaction or the process leading thereto.</w:t>
      </w:r>
    </w:p>
    <w:p>
      <w:pPr>
        <w:spacing w:after="0" w:line="146" w:lineRule="exact"/>
        <w:rPr>
          <w:rFonts w:ascii="Arial" w:cs="Arial" w:eastAsia="Arial" w:hAnsi="Arial"/>
          <w:sz w:val="15"/>
          <w:szCs w:val="15"/>
          <w:color w:val="auto"/>
        </w:rPr>
      </w:pPr>
    </w:p>
    <w:p>
      <w:pPr>
        <w:ind w:left="-509" w:firstLine="509"/>
        <w:spacing w:after="0" w:line="289" w:lineRule="auto"/>
        <w:tabs>
          <w:tab w:leader="none" w:pos="412"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This Agreement supersedes all prior agreements and understandings (whether written or oral) between the Company, the Selling Stockholder and the Underwriters, or any of them, with respect to the subject matter hereof.</w:t>
      </w:r>
    </w:p>
    <w:p>
      <w:pPr>
        <w:spacing w:after="0" w:line="121" w:lineRule="exact"/>
        <w:rPr>
          <w:rFonts w:ascii="Arial" w:cs="Arial" w:eastAsia="Arial" w:hAnsi="Arial"/>
          <w:sz w:val="15"/>
          <w:szCs w:val="15"/>
          <w:color w:val="auto"/>
        </w:rPr>
      </w:pPr>
    </w:p>
    <w:p>
      <w:pPr>
        <w:jc w:val="both"/>
        <w:ind w:left="-509" w:firstLine="509"/>
        <w:spacing w:after="0" w:line="265" w:lineRule="auto"/>
        <w:tabs>
          <w:tab w:leader="none" w:pos="431"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and the Selling Stockholder agree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and the Selling Stockholder agree to submit to the jurisdiction of, and to venue in, such courts.</w:t>
      </w:r>
    </w:p>
    <w:p>
      <w:pPr>
        <w:sectPr>
          <w:pgSz w:w="11900" w:h="16838" w:orient="portrait"/>
          <w:cols w:equalWidth="0" w:num="1">
            <w:col w:w="10771"/>
          </w:cols>
          <w:pgMar w:left="809" w:top="1133" w:right="319" w:bottom="1440" w:gutter="0" w:footer="0" w:header="0"/>
        </w:sectPr>
      </w:pPr>
    </w:p>
    <w:bookmarkStart w:id="68" w:name="page69"/>
    <w:bookmarkEnd w:id="68"/>
    <w:p>
      <w:pPr>
        <w:ind w:left="-500" w:firstLine="509"/>
        <w:spacing w:after="0" w:line="304" w:lineRule="auto"/>
        <w:tabs>
          <w:tab w:leader="none" w:pos="391"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Company, the Selling Stockholder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99" w:lineRule="exact"/>
        <w:rPr>
          <w:rFonts w:ascii="Arial" w:cs="Arial" w:eastAsia="Arial" w:hAnsi="Arial"/>
          <w:sz w:val="15"/>
          <w:szCs w:val="15"/>
          <w:color w:val="auto"/>
        </w:rPr>
      </w:pPr>
    </w:p>
    <w:p>
      <w:pPr>
        <w:jc w:val="both"/>
        <w:ind w:left="-500" w:firstLine="509"/>
        <w:spacing w:after="0" w:line="270" w:lineRule="auto"/>
        <w:tabs>
          <w:tab w:leader="none" w:pos="4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24" w:lineRule="exact"/>
        <w:rPr>
          <w:rFonts w:ascii="Arial" w:cs="Arial" w:eastAsia="Arial" w:hAnsi="Arial"/>
          <w:sz w:val="15"/>
          <w:szCs w:val="15"/>
          <w:color w:val="auto"/>
        </w:rPr>
      </w:pPr>
    </w:p>
    <w:p>
      <w:pPr>
        <w:jc w:val="both"/>
        <w:ind w:left="-500" w:firstLine="509"/>
        <w:spacing w:after="0" w:line="270" w:lineRule="auto"/>
        <w:tabs>
          <w:tab w:leader="none" w:pos="436" w:val="left"/>
        </w:tabs>
        <w:numPr>
          <w:ilvl w:val="0"/>
          <w:numId w:val="65"/>
        </w:numPr>
        <w:rPr>
          <w:rFonts w:ascii="Arial" w:cs="Arial" w:eastAsia="Arial" w:hAnsi="Arial"/>
          <w:sz w:val="15"/>
          <w:szCs w:val="15"/>
          <w:color w:val="auto"/>
        </w:rPr>
      </w:pPr>
      <w:r>
        <w:rPr>
          <w:rFonts w:ascii="Arial" w:cs="Arial" w:eastAsia="Arial" w:hAnsi="Arial"/>
          <w:sz w:val="15"/>
          <w:szCs w:val="15"/>
          <w:color w:val="auto"/>
        </w:rPr>
        <w:t>Notwithstanding anything herein to the contrary, the Company and the Selling Stockholder are authorized to disclose to any persons the U.S. federal and state income tax treatment and tax structure of the potential transaction and all materials of any kind (including tax opinions and other tax analyses) provided to the Company and the Selling Stockholder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24" w:lineRule="exact"/>
        <w:rPr>
          <w:rFonts w:ascii="Arial" w:cs="Arial" w:eastAsia="Arial" w:hAnsi="Arial"/>
          <w:sz w:val="15"/>
          <w:szCs w:val="15"/>
          <w:color w:val="auto"/>
        </w:rPr>
      </w:pPr>
    </w:p>
    <w:p>
      <w:pPr>
        <w:ind w:left="400" w:hanging="391"/>
        <w:spacing w:after="0"/>
        <w:tabs>
          <w:tab w:leader="none" w:pos="4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Recognition of the U.S. Special Resolution Regimes.</w:t>
      </w:r>
    </w:p>
    <w:p>
      <w:pPr>
        <w:spacing w:after="0" w:line="185" w:lineRule="exact"/>
        <w:rPr>
          <w:sz w:val="20"/>
          <w:szCs w:val="20"/>
          <w:color w:val="auto"/>
        </w:rPr>
      </w:pPr>
    </w:p>
    <w:p>
      <w:pPr>
        <w:jc w:val="both"/>
        <w:ind w:left="-500" w:firstLine="509"/>
        <w:spacing w:after="0" w:line="276" w:lineRule="auto"/>
        <w:tabs>
          <w:tab w:leader="none" w:pos="351" w:val="left"/>
        </w:tabs>
        <w:numPr>
          <w:ilvl w:val="0"/>
          <w:numId w:val="66"/>
        </w:numPr>
        <w:rPr>
          <w:rFonts w:ascii="Arial" w:cs="Arial" w:eastAsia="Arial" w:hAnsi="Arial"/>
          <w:sz w:val="15"/>
          <w:szCs w:val="15"/>
          <w:color w:val="auto"/>
        </w:rPr>
      </w:pPr>
      <w:r>
        <w:rPr>
          <w:rFonts w:ascii="Arial" w:cs="Arial" w:eastAsia="Arial" w:hAnsi="Arial"/>
          <w:sz w:val="15"/>
          <w:szCs w:val="15"/>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309" w:lineRule="exact"/>
        <w:rPr>
          <w:rFonts w:ascii="Arial" w:cs="Arial" w:eastAsia="Arial" w:hAnsi="Arial"/>
          <w:sz w:val="15"/>
          <w:szCs w:val="15"/>
          <w:color w:val="auto"/>
        </w:rPr>
      </w:pPr>
    </w:p>
    <w:p>
      <w:pPr>
        <w:jc w:val="both"/>
        <w:ind w:left="-500" w:firstLine="509"/>
        <w:spacing w:after="0" w:line="272" w:lineRule="auto"/>
        <w:tabs>
          <w:tab w:leader="none" w:pos="459" w:val="left"/>
        </w:tabs>
        <w:numPr>
          <w:ilvl w:val="0"/>
          <w:numId w:val="66"/>
        </w:numPr>
        <w:rPr>
          <w:rFonts w:ascii="Arial" w:cs="Arial" w:eastAsia="Arial" w:hAnsi="Arial"/>
          <w:sz w:val="15"/>
          <w:szCs w:val="15"/>
          <w:color w:val="auto"/>
        </w:rPr>
      </w:pPr>
      <w:r>
        <w:rPr>
          <w:rFonts w:ascii="Arial" w:cs="Arial" w:eastAsia="Arial" w:hAnsi="Arial"/>
          <w:sz w:val="15"/>
          <w:szCs w:val="15"/>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22" w:lineRule="exact"/>
        <w:rPr>
          <w:rFonts w:ascii="Arial" w:cs="Arial" w:eastAsia="Arial" w:hAnsi="Arial"/>
          <w:sz w:val="15"/>
          <w:szCs w:val="15"/>
          <w:color w:val="auto"/>
        </w:rPr>
      </w:pPr>
    </w:p>
    <w:p>
      <w:pPr>
        <w:ind w:left="380" w:hanging="371"/>
        <w:spacing w:after="0"/>
        <w:tabs>
          <w:tab w:leader="none" w:pos="3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As used in this section: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“BHC Act Affiliate” has the meaning assigned to the term “affiliate” in, and shall be interpreted in accordance with, 12 U.S.C. § 1841(k).</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“Covered Entity” means any of the following:</w:t>
      </w:r>
    </w:p>
    <w:p>
      <w:pPr>
        <w:spacing w:after="0" w:line="175" w:lineRule="exact"/>
        <w:rPr>
          <w:sz w:val="20"/>
          <w:szCs w:val="20"/>
          <w:color w:val="auto"/>
        </w:rPr>
      </w:pPr>
    </w:p>
    <w:p>
      <w:pPr>
        <w:ind w:left="320" w:hanging="311"/>
        <w:spacing w:after="0"/>
        <w:tabs>
          <w:tab w:leader="none" w:pos="3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 “covered entity” as that term is defined in, and interpreted in accordance with, 12 C.F.R. § 252.82(b);</w:t>
      </w:r>
    </w:p>
    <w:p>
      <w:pPr>
        <w:sectPr>
          <w:pgSz w:w="11900" w:h="16838" w:orient="portrait"/>
          <w:cols w:equalWidth="0" w:num="1">
            <w:col w:w="10780"/>
          </w:cols>
          <w:pgMar w:left="800" w:top="1133" w:right="319" w:bottom="1440" w:gutter="0" w:footer="0" w:header="0"/>
        </w:sectPr>
      </w:pPr>
    </w:p>
    <w:bookmarkStart w:id="69" w:name="page70"/>
    <w:bookmarkEnd w:id="69"/>
    <w:p>
      <w:pPr>
        <w:ind w:left="860" w:hanging="351"/>
        <w:spacing w:after="0"/>
        <w:tabs>
          <w:tab w:leader="none" w:pos="8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 “covered bank” as that term is defined in, and interpreted in accordance with, 12 C.F.R. § 47.3(b); or</w:t>
      </w:r>
    </w:p>
    <w:p>
      <w:pPr>
        <w:spacing w:after="0" w:line="185" w:lineRule="exact"/>
        <w:rPr>
          <w:rFonts w:ascii="Arial" w:cs="Arial" w:eastAsia="Arial" w:hAnsi="Arial"/>
          <w:sz w:val="15"/>
          <w:szCs w:val="15"/>
          <w:color w:val="auto"/>
        </w:rPr>
      </w:pPr>
    </w:p>
    <w:p>
      <w:pPr>
        <w:ind w:left="880" w:hanging="371"/>
        <w:spacing w:after="0"/>
        <w:tabs>
          <w:tab w:leader="none" w:pos="8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 “covered FSI” as that term is defined in, and interpreted in accordance with, 12 C.F.R. § 382.2(b).</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“Default Right” has the meaning assigned to that term in, and shall be interpreted in accordance with, 12 C.F.R. §§ 252.81, 47.2 or 382.1, as applicable.</w:t>
      </w:r>
    </w:p>
    <w:p>
      <w:pPr>
        <w:spacing w:after="0" w:line="185" w:lineRule="exact"/>
        <w:rPr>
          <w:sz w:val="20"/>
          <w:szCs w:val="20"/>
          <w:color w:val="auto"/>
        </w:rPr>
      </w:pPr>
    </w:p>
    <w:p>
      <w:pPr>
        <w:jc w:val="both"/>
        <w:ind w:firstLine="505"/>
        <w:spacing w:after="0" w:line="289" w:lineRule="auto"/>
        <w:rPr>
          <w:sz w:val="20"/>
          <w:szCs w:val="20"/>
          <w:color w:val="auto"/>
        </w:rPr>
      </w:pPr>
      <w:r>
        <w:rPr>
          <w:rFonts w:ascii="Arial" w:cs="Arial" w:eastAsia="Arial" w:hAnsi="Arial"/>
          <w:sz w:val="15"/>
          <w:szCs w:val="15"/>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21" w:lineRule="exact"/>
        <w:rPr>
          <w:sz w:val="20"/>
          <w:szCs w:val="20"/>
          <w:color w:val="auto"/>
        </w:rPr>
      </w:pPr>
    </w:p>
    <w:p>
      <w:pPr>
        <w:jc w:val="both"/>
        <w:ind w:firstLine="505"/>
        <w:spacing w:after="0" w:line="266" w:lineRule="auto"/>
        <w:rPr>
          <w:sz w:val="20"/>
          <w:szCs w:val="20"/>
          <w:color w:val="auto"/>
        </w:rPr>
      </w:pPr>
      <w:r>
        <w:rPr>
          <w:rFonts w:ascii="Arial" w:cs="Arial" w:eastAsia="Arial" w:hAnsi="Arial"/>
          <w:sz w:val="15"/>
          <w:szCs w:val="15"/>
          <w:color w:val="auto"/>
        </w:rPr>
        <w:t>If the foregoing is in accordance with the Representatives’ understanding, please sign and return to us counterparts hereof, and upon the acceptance hereof by the Representatives, on behalf of each of the Underwriters, this letter and such acceptance hereof shall constitute a binding agreement among each of the Underwriters, the Company and the Selling Stockholder. It is understood that the Representatives’ acceptance of this letter on behalf of each of the Underwriters is pursuant to the authority set forth in a form of Agreement among Underwriters, the form of which shall be submitted to the Company and the Selling Stockholder for examination upon request, but without warranty on the Representatives’ part as to the authority of the signers thereof.</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ectPr>
          <w:pgSz w:w="11900" w:h="16838" w:orient="portrait"/>
          <w:cols w:equalWidth="0" w:num="1">
            <w:col w:w="11280"/>
          </w:cols>
          <w:pgMar w:left="300" w:top="1133" w:right="319" w:bottom="1440" w:gutter="0" w:footer="0" w:header="0"/>
        </w:sectPr>
      </w:pPr>
    </w:p>
    <w:bookmarkStart w:id="70" w:name="page71"/>
    <w:bookmarkEnd w:id="70"/>
    <w:p>
      <w:pPr>
        <w:ind w:left="5180"/>
        <w:spacing w:after="0"/>
        <w:rPr>
          <w:sz w:val="20"/>
          <w:szCs w:val="20"/>
          <w:color w:val="auto"/>
        </w:rPr>
      </w:pPr>
      <w:r>
        <w:rPr>
          <w:rFonts w:ascii="Arial" w:cs="Arial" w:eastAsia="Arial" w:hAnsi="Arial"/>
          <w:sz w:val="15"/>
          <w:szCs w:val="15"/>
          <w:color w:val="auto"/>
        </w:rPr>
        <w:t>Very truly yours,</w:t>
      </w:r>
    </w:p>
    <w:p>
      <w:pPr>
        <w:spacing w:after="0" w:line="194" w:lineRule="exact"/>
        <w:rPr>
          <w:sz w:val="20"/>
          <w:szCs w:val="20"/>
          <w:color w:val="auto"/>
        </w:rPr>
      </w:pPr>
    </w:p>
    <w:p>
      <w:pPr>
        <w:ind w:left="5180"/>
        <w:spacing w:after="0"/>
        <w:rPr>
          <w:sz w:val="20"/>
          <w:szCs w:val="20"/>
          <w:color w:val="auto"/>
        </w:rPr>
      </w:pPr>
      <w:r>
        <w:rPr>
          <w:rFonts w:ascii="Arial" w:cs="Arial" w:eastAsia="Arial" w:hAnsi="Arial"/>
          <w:sz w:val="15"/>
          <w:szCs w:val="15"/>
          <w:b w:val="1"/>
          <w:bCs w:val="1"/>
          <w:color w:val="auto"/>
        </w:rPr>
        <w:t>Pattern Group Inc.</w:t>
      </w:r>
    </w:p>
    <w:p>
      <w:pPr>
        <w:spacing w:after="0" w:line="200" w:lineRule="exact"/>
        <w:rPr>
          <w:sz w:val="20"/>
          <w:szCs w:val="20"/>
          <w:color w:val="auto"/>
        </w:rPr>
      </w:pPr>
    </w:p>
    <w:p>
      <w:pPr>
        <w:spacing w:after="0" w:line="334"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21590</wp:posOffset>
            </wp:positionV>
            <wp:extent cx="354139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2">
                      <a:extLst>
                        <a:ext uri="{28A0092B-C50C-407E-A947-70E740481C1C}"/>
                      </a:extLst>
                    </a:blip>
                    <a:srcRect/>
                    <a:stretch>
                      <a:fillRect/>
                    </a:stretch>
                  </pic:blipFill>
                  <pic:spPr bwMode="auto">
                    <a:xfrm>
                      <a:off x="0" y="0"/>
                      <a:ext cx="3541395" cy="6985"/>
                    </a:xfrm>
                    <a:prstGeom prst="rect">
                      <a:avLst/>
                    </a:prstGeom>
                    <a:noFill/>
                  </pic:spPr>
                </pic:pic>
              </a:graphicData>
            </a:graphic>
          </wp:anchor>
        </w:drawing>
      </w:r>
    </w:p>
    <w:p>
      <w:pPr>
        <w:spacing w:after="0" w:line="176"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Name:</w:t>
      </w:r>
    </w:p>
    <w:p>
      <w:pPr>
        <w:spacing w:after="0" w:line="29"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318" w:lineRule="exact"/>
        <w:rPr>
          <w:sz w:val="20"/>
          <w:szCs w:val="20"/>
          <w:color w:val="auto"/>
        </w:rPr>
      </w:pPr>
    </w:p>
    <w:p>
      <w:pPr>
        <w:ind w:left="5180"/>
        <w:spacing w:after="0"/>
        <w:rPr>
          <w:sz w:val="20"/>
          <w:szCs w:val="20"/>
          <w:color w:val="auto"/>
        </w:rPr>
      </w:pPr>
      <w:r>
        <w:rPr>
          <w:rFonts w:ascii="Arial" w:cs="Arial" w:eastAsia="Arial" w:hAnsi="Arial"/>
          <w:sz w:val="15"/>
          <w:szCs w:val="15"/>
          <w:b w:val="1"/>
          <w:bCs w:val="1"/>
          <w:color w:val="auto"/>
        </w:rPr>
        <w:t>KL Pattern Holdings LP</w:t>
      </w:r>
    </w:p>
    <w:p>
      <w:pPr>
        <w:spacing w:after="0" w:line="198"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21590</wp:posOffset>
            </wp:positionV>
            <wp:extent cx="354139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3">
                      <a:extLst>
                        <a:ext uri="{28A0092B-C50C-407E-A947-70E740481C1C}"/>
                      </a:extLst>
                    </a:blip>
                    <a:srcRect/>
                    <a:stretch>
                      <a:fillRect/>
                    </a:stretch>
                  </pic:blipFill>
                  <pic:spPr bwMode="auto">
                    <a:xfrm>
                      <a:off x="0" y="0"/>
                      <a:ext cx="3541395" cy="6985"/>
                    </a:xfrm>
                    <a:prstGeom prst="rect">
                      <a:avLst/>
                    </a:prstGeom>
                    <a:noFill/>
                  </pic:spPr>
                </pic:pic>
              </a:graphicData>
            </a:graphic>
          </wp:anchor>
        </w:drawing>
      </w:r>
    </w:p>
    <w:p>
      <w:pPr>
        <w:spacing w:after="0" w:line="176"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Name:</w:t>
      </w:r>
    </w:p>
    <w:p>
      <w:pPr>
        <w:spacing w:after="0" w:line="29"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Title:</w:t>
      </w:r>
    </w:p>
    <w:p>
      <w:pPr>
        <w:spacing w:after="0" w:line="194" w:lineRule="exact"/>
        <w:rPr>
          <w:sz w:val="20"/>
          <w:szCs w:val="20"/>
          <w:color w:val="auto"/>
        </w:rPr>
      </w:pPr>
    </w:p>
    <w:p>
      <w:pPr>
        <w:jc w:val="right"/>
        <w:ind w:right="2819"/>
        <w:spacing w:after="0"/>
        <w:rPr>
          <w:sz w:val="20"/>
          <w:szCs w:val="20"/>
          <w:color w:val="auto"/>
        </w:rPr>
      </w:pPr>
      <w:r>
        <w:rPr>
          <w:rFonts w:ascii="Arial" w:cs="Arial" w:eastAsia="Arial" w:hAnsi="Arial"/>
          <w:sz w:val="15"/>
          <w:szCs w:val="15"/>
          <w:color w:val="auto"/>
        </w:rPr>
        <w:t>Selling Stockholder</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Accepted as of the date hereof:</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J.P. Morgan Securities LLC</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21590</wp:posOffset>
            </wp:positionV>
            <wp:extent cx="243205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4">
                      <a:extLst>
                        <a:ext uri="{28A0092B-C50C-407E-A947-70E740481C1C}"/>
                      </a:extLst>
                    </a:blip>
                    <a:srcRect/>
                    <a:stretch>
                      <a:fillRect/>
                    </a:stretch>
                  </pic:blipFill>
                  <pic:spPr bwMode="auto">
                    <a:xfrm>
                      <a:off x="0" y="0"/>
                      <a:ext cx="2432050" cy="6985"/>
                    </a:xfrm>
                    <a:prstGeom prst="rect">
                      <a:avLst/>
                    </a:prstGeom>
                    <a:noFill/>
                  </pic:spPr>
                </pic:pic>
              </a:graphicData>
            </a:graphic>
          </wp:anchor>
        </w:drawing>
      </w:r>
    </w:p>
    <w:p>
      <w:pPr>
        <w:spacing w:after="0" w:line="1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Name:</w:t>
      </w:r>
    </w:p>
    <w:p>
      <w:pPr>
        <w:spacing w:after="0" w:line="2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Title:</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Goldman Sachs &amp; Co. LLC</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21590</wp:posOffset>
            </wp:positionV>
            <wp:extent cx="243205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5">
                      <a:extLst>
                        <a:ext uri="{28A0092B-C50C-407E-A947-70E740481C1C}"/>
                      </a:extLst>
                    </a:blip>
                    <a:srcRect/>
                    <a:stretch>
                      <a:fillRect/>
                    </a:stretch>
                  </pic:blipFill>
                  <pic:spPr bwMode="auto">
                    <a:xfrm>
                      <a:off x="0" y="0"/>
                      <a:ext cx="2432050" cy="6985"/>
                    </a:xfrm>
                    <a:prstGeom prst="rect">
                      <a:avLst/>
                    </a:prstGeom>
                    <a:noFill/>
                  </pic:spPr>
                </pic:pic>
              </a:graphicData>
            </a:graphic>
          </wp:anchor>
        </w:drawing>
      </w:r>
    </w:p>
    <w:p>
      <w:pPr>
        <w:spacing w:after="0" w:line="1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Name:</w:t>
      </w:r>
    </w:p>
    <w:p>
      <w:pPr>
        <w:spacing w:after="0" w:line="2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Title: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On behalf of each of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120"/>
        <w:spacing w:after="0"/>
        <w:rPr>
          <w:sz w:val="20"/>
          <w:szCs w:val="20"/>
          <w:color w:val="auto"/>
        </w:rPr>
      </w:pPr>
      <w:r>
        <w:rPr>
          <w:rFonts w:ascii="Arial" w:cs="Arial" w:eastAsia="Arial" w:hAnsi="Arial"/>
          <w:sz w:val="15"/>
          <w:szCs w:val="15"/>
          <w:color w:val="auto"/>
        </w:rPr>
        <w:t>[Signature Page to Underwriting Agreement]</w:t>
      </w:r>
    </w:p>
    <w:p>
      <w:pPr>
        <w:sectPr>
          <w:pgSz w:w="11900" w:h="16838" w:orient="portrait"/>
          <w:cols w:equalWidth="0" w:num="1">
            <w:col w:w="10139"/>
          </w:cols>
          <w:pgMar w:left="320" w:top="1164" w:right="1440"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80"/>
        <w:spacing w:after="0"/>
        <w:rPr>
          <w:sz w:val="20"/>
          <w:szCs w:val="20"/>
          <w:color w:val="auto"/>
        </w:rPr>
      </w:pPr>
      <w:r>
        <w:rPr>
          <w:rFonts w:ascii="Arial" w:cs="Arial" w:eastAsia="Arial" w:hAnsi="Arial"/>
          <w:sz w:val="15"/>
          <w:szCs w:val="15"/>
          <w:b w:val="1"/>
          <w:bCs w:val="1"/>
          <w:u w:val="single" w:color="auto"/>
          <w:color w:val="auto"/>
        </w:rPr>
        <w:t>Underwriter</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J.P. Morgan Securities LLC</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Goldman Sachs &amp; Co. LLC</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Evercore Group L.L.C.</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Jefferies LLC</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Robert W. Baird &amp; Co. Incorporated</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BMO Capital Markets Corp</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KeyBanc Capital Markets Inc.</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Needham &amp; Company, LLC</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Stifel, Nicolaus &amp; Company, Incorporated</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William Blair &amp; Company, L.L.C.</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SCHEDULE I</w:t>
      </w:r>
    </w:p>
    <w:p>
      <w:pPr>
        <w:spacing w:after="0" w:line="217" w:lineRule="exact"/>
        <w:rPr>
          <w:sz w:val="20"/>
          <w:szCs w:val="20"/>
          <w:color w:val="auto"/>
        </w:rPr>
      </w:pPr>
    </w:p>
    <w:p>
      <w:pPr>
        <w:jc w:val="center"/>
        <w:ind w:left="-2039"/>
        <w:spacing w:after="0"/>
        <w:rPr>
          <w:sz w:val="20"/>
          <w:szCs w:val="20"/>
          <w:color w:val="auto"/>
        </w:rPr>
      </w:pPr>
      <w:r>
        <w:rPr>
          <w:rFonts w:ascii="Arial" w:cs="Arial" w:eastAsia="Arial" w:hAnsi="Arial"/>
          <w:sz w:val="15"/>
          <w:szCs w:val="15"/>
          <w:b w:val="1"/>
          <w:bCs w:val="1"/>
          <w:color w:val="auto"/>
        </w:rPr>
        <w:t>Total Number of</w:t>
      </w:r>
    </w:p>
    <w:p>
      <w:pPr>
        <w:spacing w:after="0" w:line="187" w:lineRule="exact"/>
        <w:rPr>
          <w:sz w:val="20"/>
          <w:szCs w:val="20"/>
          <w:color w:val="auto"/>
        </w:rPr>
      </w:pPr>
    </w:p>
    <w:p>
      <w:pPr>
        <w:jc w:val="center"/>
        <w:ind w:left="-2039"/>
        <w:spacing w:after="0"/>
        <w:rPr>
          <w:sz w:val="20"/>
          <w:szCs w:val="20"/>
          <w:color w:val="auto"/>
        </w:rPr>
      </w:pPr>
      <w:r>
        <w:rPr>
          <w:rFonts w:ascii="Arial" w:cs="Arial" w:eastAsia="Arial" w:hAnsi="Arial"/>
          <w:sz w:val="15"/>
          <w:szCs w:val="15"/>
          <w:b w:val="1"/>
          <w:bCs w:val="1"/>
          <w:color w:val="auto"/>
        </w:rPr>
        <w:t>Firm</w:t>
      </w:r>
    </w:p>
    <w:p>
      <w:pPr>
        <w:jc w:val="center"/>
        <w:ind w:left="-2039"/>
        <w:spacing w:after="0"/>
        <w:rPr>
          <w:sz w:val="20"/>
          <w:szCs w:val="20"/>
          <w:color w:val="auto"/>
        </w:rPr>
      </w:pPr>
      <w:r>
        <w:rPr>
          <w:rFonts w:ascii="Arial" w:cs="Arial" w:eastAsia="Arial" w:hAnsi="Arial"/>
          <w:sz w:val="15"/>
          <w:szCs w:val="15"/>
          <w:b w:val="1"/>
          <w:bCs w:val="1"/>
          <w:color w:val="auto"/>
        </w:rPr>
        <w:t>Shares</w:t>
      </w:r>
    </w:p>
    <w:p>
      <w:pPr>
        <w:spacing w:after="0" w:line="180" w:lineRule="exact"/>
        <w:rPr>
          <w:sz w:val="20"/>
          <w:szCs w:val="20"/>
          <w:color w:val="auto"/>
        </w:rPr>
      </w:pPr>
    </w:p>
    <w:p>
      <w:pPr>
        <w:ind w:left="2220"/>
        <w:spacing w:after="0"/>
        <w:rPr>
          <w:sz w:val="20"/>
          <w:szCs w:val="20"/>
          <w:color w:val="auto"/>
        </w:rPr>
      </w:pPr>
      <w:r>
        <w:rPr>
          <w:rFonts w:ascii="Arial" w:cs="Arial" w:eastAsia="Arial" w:hAnsi="Arial"/>
          <w:sz w:val="15"/>
          <w:szCs w:val="15"/>
          <w:b w:val="1"/>
          <w:bCs w:val="1"/>
          <w:color w:val="auto"/>
        </w:rPr>
        <w:t>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1310005</wp:posOffset>
            </wp:positionH>
            <wp:positionV relativeFrom="paragraph">
              <wp:posOffset>129540</wp:posOffset>
            </wp:positionV>
            <wp:extent cx="94869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6">
                      <a:extLst>
                        <a:ext uri="{28A0092B-C50C-407E-A947-70E740481C1C}"/>
                      </a:extLst>
                    </a:blip>
                    <a:srcRect/>
                    <a:stretch>
                      <a:fillRect/>
                    </a:stretch>
                  </pic:blipFill>
                  <pic:spPr bwMode="auto">
                    <a:xfrm>
                      <a:off x="0" y="0"/>
                      <a:ext cx="948690" cy="6985"/>
                    </a:xfrm>
                    <a:prstGeom prst="rect">
                      <a:avLst/>
                    </a:prstGeom>
                    <a:noFill/>
                  </pic:spPr>
                </pic:pic>
              </a:graphicData>
            </a:graphic>
          </wp:anchor>
        </w:drawing>
      </w:r>
    </w:p>
    <w:p>
      <w:pPr>
        <w:spacing w:after="0" w:line="222" w:lineRule="exact"/>
        <w:rPr>
          <w:sz w:val="20"/>
          <w:szCs w:val="20"/>
          <w:color w:val="auto"/>
        </w:rPr>
      </w:pPr>
    </w:p>
    <w:p>
      <w:pPr>
        <w:ind w:left="3280"/>
        <w:spacing w:after="0"/>
        <w:rPr>
          <w:sz w:val="20"/>
          <w:szCs w:val="20"/>
          <w:color w:val="auto"/>
        </w:rPr>
      </w:pPr>
      <w:r>
        <w:rPr>
          <w:rFonts w:ascii="Arial" w:cs="Arial" w:eastAsia="Arial" w:hAnsi="Arial"/>
          <w:sz w:val="13"/>
          <w:szCs w:val="13"/>
          <w:color w:val="auto"/>
        </w:rPr>
        <w:t xml:space="preserve">[ </w:t>
      </w:r>
      <w:r>
        <w:rPr>
          <w:rFonts w:ascii="Wingdings" w:cs="Wingdings" w:eastAsia="Wingdings" w:hAnsi="Wingdings"/>
          <w:sz w:val="14"/>
          <w:szCs w:val="14"/>
          <w:b w:val="1"/>
          <w:bCs w:val="1"/>
          <w:color w:val="auto"/>
        </w:rPr>
        <w:t>l</w:t>
      </w:r>
      <w:r>
        <w:rPr>
          <w:rFonts w:ascii="Arial" w:cs="Arial" w:eastAsia="Arial" w:hAnsi="Arial"/>
          <w:sz w:val="13"/>
          <w:szCs w:val="13"/>
          <w:color w:val="auto"/>
        </w:rPr>
        <w:t xml:space="preserve"> ]</w:t>
      </w:r>
    </w:p>
    <w:p>
      <w:pPr>
        <w:spacing w:after="0" w:line="70" w:lineRule="exact"/>
        <w:rPr>
          <w:sz w:val="20"/>
          <w:szCs w:val="20"/>
          <w:color w:val="auto"/>
        </w:rPr>
      </w:pPr>
    </w:p>
    <w:p>
      <w:pPr>
        <w:ind w:left="3280"/>
        <w:spacing w:after="0"/>
        <w:rPr>
          <w:sz w:val="20"/>
          <w:szCs w:val="20"/>
          <w:color w:val="auto"/>
        </w:rPr>
      </w:pPr>
      <w:r>
        <w:rPr>
          <w:rFonts w:ascii="Arial" w:cs="Arial" w:eastAsia="Arial" w:hAnsi="Arial"/>
          <w:sz w:val="13"/>
          <w:szCs w:val="13"/>
          <w:color w:val="auto"/>
        </w:rPr>
        <w:t xml:space="preserve">[ </w:t>
      </w:r>
      <w:r>
        <w:rPr>
          <w:rFonts w:ascii="Wingdings" w:cs="Wingdings" w:eastAsia="Wingdings" w:hAnsi="Wingdings"/>
          <w:sz w:val="14"/>
          <w:szCs w:val="14"/>
          <w:b w:val="1"/>
          <w:bCs w:val="1"/>
          <w:color w:val="auto"/>
        </w:rPr>
        <w:t>l</w:t>
      </w:r>
      <w:r>
        <w:rPr>
          <w:rFonts w:ascii="Arial" w:cs="Arial" w:eastAsia="Arial" w:hAnsi="Arial"/>
          <w:sz w:val="13"/>
          <w:szCs w:val="13"/>
          <w:color w:val="auto"/>
        </w:rPr>
        <w:t xml:space="preserve"> ]</w:t>
      </w:r>
    </w:p>
    <w:p>
      <w:pPr>
        <w:spacing w:after="0" w:line="20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19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19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19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19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19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19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19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1310005</wp:posOffset>
            </wp:positionH>
            <wp:positionV relativeFrom="paragraph">
              <wp:posOffset>13335</wp:posOffset>
            </wp:positionV>
            <wp:extent cx="94869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7">
                      <a:extLst>
                        <a:ext uri="{28A0092B-C50C-407E-A947-70E740481C1C}"/>
                      </a:extLst>
                    </a:blip>
                    <a:srcRect/>
                    <a:stretch>
                      <a:fillRect/>
                    </a:stretch>
                  </pic:blipFill>
                  <pic:spPr bwMode="auto">
                    <a:xfrm>
                      <a:off x="0" y="0"/>
                      <a:ext cx="948690" cy="6985"/>
                    </a:xfrm>
                    <a:prstGeom prst="rect">
                      <a:avLst/>
                    </a:prstGeom>
                    <a:noFill/>
                  </pic:spPr>
                </pic:pic>
              </a:graphicData>
            </a:graphic>
          </wp:anchor>
        </w:drawing>
      </w:r>
    </w:p>
    <w:p>
      <w:pPr>
        <w:spacing w:after="0" w:line="3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1310005</wp:posOffset>
            </wp:positionH>
            <wp:positionV relativeFrom="paragraph">
              <wp:posOffset>13335</wp:posOffset>
            </wp:positionV>
            <wp:extent cx="94869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8">
                      <a:extLst>
                        <a:ext uri="{28A0092B-C50C-407E-A947-70E740481C1C}"/>
                      </a:extLst>
                    </a:blip>
                    <a:srcRect/>
                    <a:stretch>
                      <a:fillRect/>
                    </a:stretch>
                  </pic:blipFill>
                  <pic:spPr bwMode="auto">
                    <a:xfrm>
                      <a:off x="0" y="0"/>
                      <a:ext cx="9486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jc w:val="center"/>
        <w:ind w:right="540"/>
        <w:spacing w:after="0"/>
        <w:rPr>
          <w:sz w:val="20"/>
          <w:szCs w:val="20"/>
          <w:color w:val="auto"/>
        </w:rPr>
      </w:pPr>
      <w:r>
        <w:rPr>
          <w:rFonts w:ascii="Arial" w:cs="Arial" w:eastAsia="Arial" w:hAnsi="Arial"/>
          <w:sz w:val="15"/>
          <w:szCs w:val="15"/>
          <w:b w:val="1"/>
          <w:bCs w:val="1"/>
          <w:color w:val="auto"/>
        </w:rPr>
        <w:t>Number of</w:t>
      </w:r>
    </w:p>
    <w:p>
      <w:pPr>
        <w:spacing w:after="0" w:line="22" w:lineRule="exact"/>
        <w:rPr>
          <w:sz w:val="20"/>
          <w:szCs w:val="20"/>
          <w:color w:val="auto"/>
        </w:rPr>
      </w:pPr>
    </w:p>
    <w:p>
      <w:pPr>
        <w:jc w:val="center"/>
        <w:ind w:right="540"/>
        <w:spacing w:after="0"/>
        <w:rPr>
          <w:sz w:val="20"/>
          <w:szCs w:val="20"/>
          <w:color w:val="auto"/>
        </w:rPr>
      </w:pPr>
      <w:r>
        <w:rPr>
          <w:rFonts w:ascii="Arial" w:cs="Arial" w:eastAsia="Arial" w:hAnsi="Arial"/>
          <w:sz w:val="15"/>
          <w:szCs w:val="15"/>
          <w:b w:val="1"/>
          <w:bCs w:val="1"/>
          <w:color w:val="auto"/>
        </w:rPr>
        <w:t>Optional Shares</w:t>
      </w:r>
    </w:p>
    <w:p>
      <w:pPr>
        <w:spacing w:after="0" w:line="17" w:lineRule="exact"/>
        <w:rPr>
          <w:sz w:val="20"/>
          <w:szCs w:val="20"/>
          <w:color w:val="auto"/>
        </w:rPr>
      </w:pPr>
    </w:p>
    <w:p>
      <w:pPr>
        <w:jc w:val="center"/>
        <w:ind w:right="540"/>
        <w:spacing w:after="0"/>
        <w:rPr>
          <w:sz w:val="20"/>
          <w:szCs w:val="20"/>
          <w:color w:val="auto"/>
        </w:rPr>
      </w:pPr>
      <w:r>
        <w:rPr>
          <w:rFonts w:ascii="Arial" w:cs="Arial" w:eastAsia="Arial" w:hAnsi="Arial"/>
          <w:sz w:val="15"/>
          <w:szCs w:val="15"/>
          <w:b w:val="1"/>
          <w:bCs w:val="1"/>
          <w:color w:val="auto"/>
        </w:rPr>
        <w:t>to be</w:t>
      </w:r>
    </w:p>
    <w:p>
      <w:pPr>
        <w:spacing w:after="0" w:line="6" w:lineRule="exact"/>
        <w:rPr>
          <w:sz w:val="20"/>
          <w:szCs w:val="20"/>
          <w:color w:val="auto"/>
        </w:rPr>
      </w:pPr>
    </w:p>
    <w:p>
      <w:pPr>
        <w:jc w:val="center"/>
        <w:ind w:right="540"/>
        <w:spacing w:after="0"/>
        <w:rPr>
          <w:sz w:val="20"/>
          <w:szCs w:val="20"/>
          <w:color w:val="auto"/>
        </w:rPr>
      </w:pPr>
      <w:r>
        <w:rPr>
          <w:rFonts w:ascii="Arial" w:cs="Arial" w:eastAsia="Arial" w:hAnsi="Arial"/>
          <w:sz w:val="15"/>
          <w:szCs w:val="15"/>
          <w:b w:val="1"/>
          <w:bCs w:val="1"/>
          <w:color w:val="auto"/>
        </w:rPr>
        <w:t>Purchased if</w:t>
      </w:r>
    </w:p>
    <w:p>
      <w:pPr>
        <w:spacing w:after="0" w:line="17" w:lineRule="exact"/>
        <w:rPr>
          <w:sz w:val="20"/>
          <w:szCs w:val="20"/>
          <w:color w:val="auto"/>
        </w:rPr>
      </w:pPr>
    </w:p>
    <w:p>
      <w:pPr>
        <w:jc w:val="center"/>
        <w:ind w:right="540"/>
        <w:spacing w:after="0"/>
        <w:rPr>
          <w:sz w:val="20"/>
          <w:szCs w:val="20"/>
          <w:color w:val="auto"/>
        </w:rPr>
      </w:pPr>
      <w:r>
        <w:rPr>
          <w:rFonts w:ascii="Arial" w:cs="Arial" w:eastAsia="Arial" w:hAnsi="Arial"/>
          <w:sz w:val="15"/>
          <w:szCs w:val="15"/>
          <w:b w:val="1"/>
          <w:bCs w:val="1"/>
          <w:color w:val="auto"/>
        </w:rPr>
        <w:t>Maximum Option</w:t>
      </w:r>
    </w:p>
    <w:p>
      <w:pPr>
        <w:spacing w:after="0" w:line="17" w:lineRule="exact"/>
        <w:rPr>
          <w:sz w:val="20"/>
          <w:szCs w:val="20"/>
          <w:color w:val="auto"/>
        </w:rPr>
      </w:pPr>
    </w:p>
    <w:p>
      <w:pPr>
        <w:jc w:val="center"/>
        <w:ind w:right="540"/>
        <w:spacing w:after="0"/>
        <w:rPr>
          <w:sz w:val="20"/>
          <w:szCs w:val="20"/>
          <w:color w:val="auto"/>
        </w:rPr>
      </w:pPr>
      <w:r>
        <w:rPr>
          <w:rFonts w:ascii="Arial" w:cs="Arial" w:eastAsia="Arial" w:hAnsi="Arial"/>
          <w:sz w:val="15"/>
          <w:szCs w:val="15"/>
          <w:b w:val="1"/>
          <w:bCs w:val="1"/>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26035</wp:posOffset>
            </wp:positionV>
            <wp:extent cx="148971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9">
                      <a:extLst>
                        <a:ext uri="{28A0092B-C50C-407E-A947-70E740481C1C}"/>
                      </a:extLst>
                    </a:blip>
                    <a:srcRect/>
                    <a:stretch>
                      <a:fillRect/>
                    </a:stretch>
                  </pic:blipFill>
                  <pic:spPr bwMode="auto">
                    <a:xfrm>
                      <a:off x="0" y="0"/>
                      <a:ext cx="1489710" cy="6985"/>
                    </a:xfrm>
                    <a:prstGeom prst="rect">
                      <a:avLst/>
                    </a:prstGeom>
                    <a:noFill/>
                  </pic:spPr>
                </pic:pic>
              </a:graphicData>
            </a:graphic>
          </wp:anchor>
        </w:drawing>
      </w:r>
    </w:p>
    <w:p>
      <w:pPr>
        <w:spacing w:after="0" w:line="59"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59"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13335</wp:posOffset>
            </wp:positionV>
            <wp:extent cx="148971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0">
                      <a:extLst>
                        <a:ext uri="{28A0092B-C50C-407E-A947-70E740481C1C}"/>
                      </a:extLst>
                    </a:blip>
                    <a:srcRect/>
                    <a:stretch>
                      <a:fillRect/>
                    </a:stretch>
                  </pic:blipFill>
                  <pic:spPr bwMode="auto">
                    <a:xfrm>
                      <a:off x="0" y="0"/>
                      <a:ext cx="1489710" cy="6985"/>
                    </a:xfrm>
                    <a:prstGeom prst="rect">
                      <a:avLst/>
                    </a:prstGeom>
                    <a:noFill/>
                  </pic:spPr>
                </pic:pic>
              </a:graphicData>
            </a:graphic>
          </wp:anchor>
        </w:drawing>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13335</wp:posOffset>
            </wp:positionV>
            <wp:extent cx="148971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1">
                      <a:extLst>
                        <a:ext uri="{28A0092B-C50C-407E-A947-70E740481C1C}"/>
                      </a:extLst>
                    </a:blip>
                    <a:srcRect/>
                    <a:stretch>
                      <a:fillRect/>
                    </a:stretch>
                  </pic:blipFill>
                  <pic:spPr bwMode="auto">
                    <a:xfrm>
                      <a:off x="0" y="0"/>
                      <a:ext cx="1489710" cy="6985"/>
                    </a:xfrm>
                    <a:prstGeom prst="rect">
                      <a:avLst/>
                    </a:prstGeom>
                    <a:noFill/>
                  </pic:spPr>
                </pic:pic>
              </a:graphicData>
            </a:graphic>
          </wp:anchor>
        </w:drawing>
      </w:r>
    </w:p>
    <w:p>
      <w:pPr>
        <w:sectPr>
          <w:pgSz w:w="11900" w:h="16838" w:orient="portrait"/>
          <w:cols w:equalWidth="0" w:num="3">
            <w:col w:w="4440" w:space="720"/>
            <w:col w:w="3580" w:space="720"/>
            <w:col w:w="1800"/>
          </w:cols>
          <w:pgMar w:left="320" w:top="1131" w:right="319" w:bottom="1440" w:gutter="0" w:footer="0" w:header="0"/>
        </w:sectPr>
      </w:pPr>
    </w:p>
    <w:bookmarkStart w:id="72" w:name="page73"/>
    <w:bookmarkEnd w:id="72"/>
    <w:p>
      <w:pPr>
        <w:jc w:val="center"/>
        <w:ind w:right="-295"/>
        <w:spacing w:after="0"/>
        <w:rPr>
          <w:sz w:val="20"/>
          <w:szCs w:val="20"/>
          <w:color w:val="auto"/>
        </w:rPr>
      </w:pPr>
      <w:r>
        <w:rPr>
          <w:rFonts w:ascii="Arial" w:cs="Arial" w:eastAsia="Arial" w:hAnsi="Arial"/>
          <w:sz w:val="15"/>
          <w:szCs w:val="15"/>
          <w:b w:val="1"/>
          <w:bCs w:val="1"/>
          <w:color w:val="auto"/>
        </w:rPr>
        <w:t>SCHEDULE II</w:t>
      </w:r>
    </w:p>
    <w:p>
      <w:pPr>
        <w:spacing w:after="0" w:line="147" w:lineRule="exact"/>
        <w:rPr>
          <w:sz w:val="20"/>
          <w:szCs w:val="20"/>
          <w:color w:val="auto"/>
        </w:rPr>
      </w:pPr>
    </w:p>
    <w:tbl>
      <w:tblPr>
        <w:tblLayout w:type="fixed"/>
        <w:tblInd w:w="16" w:type="dxa"/>
        <w:tblCellMar>
          <w:top w:w="0" w:type="dxa"/>
          <w:left w:w="0" w:type="dxa"/>
          <w:bottom w:w="0" w:type="dxa"/>
          <w:right w:w="0" w:type="dxa"/>
        </w:tblCellMar>
      </w:tblPr>
      <w:tr>
        <w:trPr>
          <w:trHeight w:val="193"/>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9"/>
              </w:rPr>
              <w:t>Number of Optional</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9"/>
              </w:rPr>
              <w:t>Shares to be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rPr>
              <w:t>Total Number of</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8"/>
              </w:rPr>
              <w:t>Sold if</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8"/>
              </w:rPr>
              <w:t>Firm Shares</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Maximum Option</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to be Sold</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Exercised</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5480" w:type="dxa"/>
            <w:vAlign w:val="bottom"/>
            <w:gridSpan w:val="2"/>
          </w:tcPr>
          <w:p>
            <w:pPr>
              <w:spacing w:after="0"/>
              <w:rPr>
                <w:sz w:val="20"/>
                <w:szCs w:val="20"/>
                <w:color w:val="auto"/>
              </w:rPr>
            </w:pPr>
            <w:r>
              <w:rPr>
                <w:rFonts w:ascii="Arial" w:cs="Arial" w:eastAsia="Arial" w:hAnsi="Arial"/>
                <w:sz w:val="15"/>
                <w:szCs w:val="15"/>
                <w:color w:val="auto"/>
              </w:rPr>
              <w:t>The Selling Stockholder</w:t>
            </w:r>
            <w:r>
              <w:rPr>
                <w:rFonts w:ascii="Arial" w:cs="Arial" w:eastAsia="Arial" w:hAnsi="Arial"/>
                <w:sz w:val="20"/>
                <w:szCs w:val="20"/>
                <w:color w:val="auto"/>
                <w:vertAlign w:val="superscript"/>
              </w:rPr>
              <w:t>(a)</w:t>
            </w:r>
            <w:r>
              <w:rPr>
                <w:rFonts w:ascii="Arial" w:cs="Arial" w:eastAsia="Arial" w:hAnsi="Arial"/>
                <w:sz w:val="15"/>
                <w:szCs w:val="15"/>
                <w:color w:val="auto"/>
              </w:rPr>
              <w:t>:</w:t>
            </w: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480" w:type="dxa"/>
            <w:vAlign w:val="bottom"/>
            <w:gridSpan w:val="2"/>
          </w:tcPr>
          <w:p>
            <w:pPr>
              <w:ind w:left="840"/>
              <w:spacing w:after="0"/>
              <w:rPr>
                <w:sz w:val="20"/>
                <w:szCs w:val="20"/>
                <w:color w:val="auto"/>
              </w:rPr>
            </w:pPr>
            <w:r>
              <w:rPr>
                <w:rFonts w:ascii="Arial" w:cs="Arial" w:eastAsia="Arial" w:hAnsi="Arial"/>
                <w:sz w:val="15"/>
                <w:szCs w:val="15"/>
                <w:b w:val="1"/>
                <w:bCs w:val="1"/>
                <w:color w:val="auto"/>
              </w:rPr>
              <w:t>KL Pattern Holdings LP</w:t>
            </w:r>
          </w:p>
        </w:tc>
        <w:tc>
          <w:tcPr>
            <w:tcW w:w="2700" w:type="dxa"/>
            <w:vAlign w:val="bottom"/>
            <w:gridSpan w:val="4"/>
          </w:tcPr>
          <w:p>
            <w:pPr>
              <w:jc w:val="center"/>
              <w:ind w:right="620"/>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tc>
        <w:tc>
          <w:tcPr>
            <w:tcW w:w="2560" w:type="dxa"/>
            <w:vAlign w:val="bottom"/>
          </w:tcPr>
          <w:p>
            <w:pPr>
              <w:jc w:val="center"/>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5480" w:type="dxa"/>
            <w:vAlign w:val="bottom"/>
            <w:gridSpan w:val="2"/>
            <w:vMerge w:val="restart"/>
          </w:tcPr>
          <w:p>
            <w:pPr>
              <w:ind w:left="500"/>
              <w:spacing w:after="0"/>
              <w:rPr>
                <w:sz w:val="20"/>
                <w:szCs w:val="20"/>
                <w:color w:val="auto"/>
              </w:rPr>
            </w:pPr>
            <w:r>
              <w:rPr>
                <w:rFonts w:ascii="Arial" w:cs="Arial" w:eastAsia="Arial" w:hAnsi="Arial"/>
                <w:sz w:val="15"/>
                <w:szCs w:val="15"/>
                <w:color w:val="auto"/>
              </w:rPr>
              <w:t>Total</w:t>
            </w:r>
          </w:p>
        </w:tc>
        <w:tc>
          <w:tcPr>
            <w:tcW w:w="20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480" w:type="dxa"/>
            <w:vAlign w:val="bottom"/>
            <w:gridSpan w:val="2"/>
            <w:vMerge w:val="continue"/>
          </w:tcPr>
          <w:p>
            <w:pPr>
              <w:spacing w:after="0"/>
              <w:rPr>
                <w:sz w:val="17"/>
                <w:szCs w:val="17"/>
                <w:color w:val="auto"/>
              </w:rPr>
            </w:pPr>
          </w:p>
        </w:tc>
        <w:tc>
          <w:tcPr>
            <w:tcW w:w="2700" w:type="dxa"/>
            <w:vAlign w:val="bottom"/>
            <w:gridSpan w:val="4"/>
          </w:tcPr>
          <w:p>
            <w:pPr>
              <w:jc w:val="center"/>
              <w:ind w:right="620"/>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tc>
        <w:tc>
          <w:tcPr>
            <w:tcW w:w="2560" w:type="dxa"/>
            <w:vAlign w:val="bottom"/>
          </w:tcPr>
          <w:p>
            <w:pPr>
              <w:jc w:val="center"/>
              <w:spacing w:after="0"/>
              <w:rPr>
                <w:sz w:val="20"/>
                <w:szCs w:val="20"/>
                <w:color w:val="auto"/>
              </w:rPr>
            </w:pPr>
            <w:r>
              <w:rPr>
                <w:rFonts w:ascii="Arial" w:cs="Arial" w:eastAsia="Arial" w:hAnsi="Arial"/>
                <w:sz w:val="14"/>
                <w:szCs w:val="14"/>
                <w:color w:val="auto"/>
              </w:rPr>
              <w:t xml:space="preserve">[ </w:t>
            </w:r>
            <w:r>
              <w:rPr>
                <w:rFonts w:ascii="Wingdings" w:cs="Wingdings" w:eastAsia="Wingdings" w:hAnsi="Wingdings"/>
                <w:sz w:val="15"/>
                <w:szCs w:val="15"/>
                <w:b w:val="1"/>
                <w:bCs w:val="1"/>
                <w:color w:val="auto"/>
              </w:rPr>
              <w:t>l</w:t>
            </w:r>
            <w:r>
              <w:rPr>
                <w:rFonts w:ascii="Arial" w:cs="Arial" w:eastAsia="Arial" w:hAnsi="Arial"/>
                <w:sz w:val="14"/>
                <w:szCs w:val="14"/>
                <w:color w:val="auto"/>
              </w:rPr>
              <w:t xml:space="preserve"> ]</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260" w:type="dxa"/>
            <w:vAlign w:val="bottom"/>
            <w:vMerge w:val="restart"/>
          </w:tcPr>
          <w:p>
            <w:pPr>
              <w:jc w:val="right"/>
              <w:ind w:right="4505"/>
              <w:spacing w:after="0"/>
              <w:rPr>
                <w:sz w:val="20"/>
                <w:szCs w:val="20"/>
                <w:color w:val="auto"/>
              </w:rPr>
            </w:pPr>
            <w:r>
              <w:rPr>
                <w:rFonts w:ascii="Arial" w:cs="Arial" w:eastAsia="Arial" w:hAnsi="Arial"/>
                <w:sz w:val="14"/>
                <w:szCs w:val="14"/>
                <w:color w:val="auto"/>
              </w:rPr>
              <w:t>________</w:t>
            </w:r>
          </w:p>
        </w:tc>
        <w:tc>
          <w:tcPr>
            <w:tcW w:w="2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5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16" w:hanging="316"/>
        <w:spacing w:after="0"/>
        <w:tabs>
          <w:tab w:leader="none" w:pos="316"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Selling Stockholder is represented by Kirkland &amp; Ellis LLP, New York, NY 10022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5"/>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976"/>
          </w:cols>
          <w:pgMar w:left="304" w:top="1131" w:right="619" w:bottom="1440" w:gutter="0" w:footer="0" w:header="0"/>
        </w:sectPr>
      </w:pPr>
    </w:p>
    <w:bookmarkStart w:id="73" w:name="page74"/>
    <w:bookmarkEnd w:id="73"/>
    <w:p>
      <w:pPr>
        <w:ind w:left="5136"/>
        <w:spacing w:after="0"/>
        <w:rPr>
          <w:sz w:val="20"/>
          <w:szCs w:val="20"/>
          <w:color w:val="auto"/>
        </w:rPr>
      </w:pPr>
      <w:r>
        <w:rPr>
          <w:rFonts w:ascii="Arial" w:cs="Arial" w:eastAsia="Arial" w:hAnsi="Arial"/>
          <w:sz w:val="15"/>
          <w:szCs w:val="15"/>
          <w:b w:val="1"/>
          <w:bCs w:val="1"/>
          <w:color w:val="auto"/>
        </w:rPr>
        <w:t>SCHEDULE III</w:t>
      </w:r>
    </w:p>
    <w:p>
      <w:pPr>
        <w:spacing w:after="0" w:line="187" w:lineRule="exact"/>
        <w:rPr>
          <w:sz w:val="20"/>
          <w:szCs w:val="20"/>
          <w:color w:val="auto"/>
        </w:rPr>
      </w:pPr>
    </w:p>
    <w:p>
      <w:pPr>
        <w:ind w:left="496" w:right="4399" w:hanging="496"/>
        <w:spacing w:after="0" w:line="289" w:lineRule="auto"/>
        <w:tabs>
          <w:tab w:leader="none" w:pos="222" w:val="left"/>
        </w:tabs>
        <w:numPr>
          <w:ilvl w:val="0"/>
          <w:numId w:val="70"/>
        </w:numPr>
        <w:rPr>
          <w:rFonts w:ascii="Arial" w:cs="Arial" w:eastAsia="Arial" w:hAnsi="Arial"/>
          <w:sz w:val="15"/>
          <w:szCs w:val="15"/>
          <w:color w:val="auto"/>
        </w:rPr>
      </w:pPr>
      <w:r>
        <w:rPr>
          <w:rFonts w:ascii="Arial" w:cs="Arial" w:eastAsia="Arial" w:hAnsi="Arial"/>
          <w:sz w:val="15"/>
          <w:szCs w:val="15"/>
          <w:color w:val="auto"/>
        </w:rPr>
        <w:t xml:space="preserve">Issuer Free Writing Prospectuses not included in the Pricing Disclosure Package: [Electronic roadshow dated [ </w:t>
      </w:r>
      <w:r>
        <w:rPr>
          <w:rFonts w:ascii="Wingdings" w:cs="Wingdings" w:eastAsia="Wingdings" w:hAnsi="Wingdings"/>
          <w:sz w:val="15"/>
          <w:szCs w:val="15"/>
          <w:b w:val="1"/>
          <w:bCs w:val="1"/>
          <w:color w:val="auto"/>
        </w:rPr>
        <w:t>l</w:t>
      </w:r>
      <w:r>
        <w:rPr>
          <w:rFonts w:ascii="Arial" w:cs="Arial" w:eastAsia="Arial" w:hAnsi="Arial"/>
          <w:sz w:val="15"/>
          <w:szCs w:val="15"/>
          <w:color w:val="auto"/>
        </w:rPr>
        <w:t xml:space="preserve"> ], 2026]</w:t>
      </w:r>
    </w:p>
    <w:p>
      <w:pPr>
        <w:spacing w:after="0" w:line="121" w:lineRule="exact"/>
        <w:rPr>
          <w:rFonts w:ascii="Arial" w:cs="Arial" w:eastAsia="Arial" w:hAnsi="Arial"/>
          <w:sz w:val="15"/>
          <w:szCs w:val="15"/>
          <w:color w:val="auto"/>
        </w:rPr>
      </w:pPr>
    </w:p>
    <w:p>
      <w:pPr>
        <w:ind w:left="236" w:hanging="236"/>
        <w:spacing w:after="0"/>
        <w:tabs>
          <w:tab w:leader="none" w:pos="236" w:val="left"/>
        </w:tabs>
        <w:numPr>
          <w:ilvl w:val="0"/>
          <w:numId w:val="70"/>
        </w:numPr>
        <w:rPr>
          <w:rFonts w:ascii="Arial" w:cs="Arial" w:eastAsia="Arial" w:hAnsi="Arial"/>
          <w:sz w:val="15"/>
          <w:szCs w:val="15"/>
          <w:color w:val="auto"/>
        </w:rPr>
      </w:pPr>
      <w:r>
        <w:rPr>
          <w:rFonts w:ascii="Arial" w:cs="Arial" w:eastAsia="Arial" w:hAnsi="Arial"/>
          <w:sz w:val="15"/>
          <w:szCs w:val="15"/>
          <w:color w:val="auto"/>
        </w:rPr>
        <w:t>Additional Documents Incorporated by Reference:</w:t>
      </w:r>
    </w:p>
    <w:p>
      <w:pPr>
        <w:spacing w:after="0" w:line="10" w:lineRule="exact"/>
        <w:rPr>
          <w:sz w:val="20"/>
          <w:szCs w:val="20"/>
          <w:color w:val="auto"/>
        </w:rPr>
      </w:pPr>
    </w:p>
    <w:p>
      <w:pPr>
        <w:ind w:left="496"/>
        <w:spacing w:after="0"/>
        <w:rPr>
          <w:sz w:val="20"/>
          <w:szCs w:val="20"/>
          <w:color w:val="auto"/>
        </w:rPr>
      </w:pPr>
      <w:r>
        <w:rPr>
          <w:rFonts w:ascii="Arial" w:cs="Arial" w:eastAsia="Arial" w:hAnsi="Arial"/>
          <w:sz w:val="15"/>
          <w:szCs w:val="15"/>
          <w:color w:val="auto"/>
        </w:rPr>
        <w:t>[None].</w:t>
      </w:r>
    </w:p>
    <w:p>
      <w:pPr>
        <w:spacing w:after="0" w:line="150" w:lineRule="exact"/>
        <w:rPr>
          <w:sz w:val="20"/>
          <w:szCs w:val="20"/>
          <w:color w:val="auto"/>
        </w:rPr>
      </w:pPr>
    </w:p>
    <w:p>
      <w:pPr>
        <w:ind w:left="496" w:right="3659" w:hanging="496"/>
        <w:spacing w:after="0" w:line="490" w:lineRule="auto"/>
        <w:tabs>
          <w:tab w:leader="none" w:pos="213" w:val="left"/>
        </w:tabs>
        <w:numPr>
          <w:ilvl w:val="0"/>
          <w:numId w:val="71"/>
        </w:numPr>
        <w:rPr>
          <w:rFonts w:ascii="Arial" w:cs="Arial" w:eastAsia="Arial" w:hAnsi="Arial"/>
          <w:sz w:val="15"/>
          <w:szCs w:val="15"/>
          <w:color w:val="auto"/>
        </w:rPr>
      </w:pPr>
      <w:r>
        <w:rPr>
          <w:rFonts w:ascii="Arial" w:cs="Arial" w:eastAsia="Arial" w:hAnsi="Arial"/>
          <w:sz w:val="15"/>
          <w:szCs w:val="15"/>
          <w:color w:val="auto"/>
        </w:rPr>
        <w:t xml:space="preserve">Information other than the Pricing Prospectus that comprise the Pricing Disclosure Package: The public offering price per share for the Shares is $[ </w:t>
      </w:r>
      <w:r>
        <w:rPr>
          <w:rFonts w:ascii="Wingdings" w:cs="Wingdings" w:eastAsia="Wingdings" w:hAnsi="Wingdings"/>
          <w:sz w:val="15"/>
          <w:szCs w:val="15"/>
          <w:b w:val="1"/>
          <w:bCs w:val="1"/>
          <w:color w:val="auto"/>
        </w:rPr>
        <w:t>l</w:t>
      </w:r>
      <w:r>
        <w:rPr>
          <w:rFonts w:ascii="Arial" w:cs="Arial" w:eastAsia="Arial" w:hAnsi="Arial"/>
          <w:sz w:val="15"/>
          <w:szCs w:val="15"/>
          <w:color w:val="auto"/>
        </w:rPr>
        <w:t xml:space="preserve"> ].</w:t>
      </w:r>
    </w:p>
    <w:p>
      <w:pPr>
        <w:ind w:left="496" w:right="3099"/>
        <w:spacing w:after="0" w:line="490" w:lineRule="auto"/>
        <w:rPr>
          <w:rFonts w:ascii="Arial" w:cs="Arial" w:eastAsia="Arial" w:hAnsi="Arial"/>
          <w:sz w:val="15"/>
          <w:szCs w:val="15"/>
          <w:color w:val="auto"/>
        </w:rPr>
      </w:pPr>
      <w:r>
        <w:rPr>
          <w:rFonts w:ascii="Arial" w:cs="Arial" w:eastAsia="Arial" w:hAnsi="Arial"/>
          <w:sz w:val="15"/>
          <w:szCs w:val="15"/>
          <w:color w:val="auto"/>
        </w:rPr>
        <w:t xml:space="preserve">The number of Firm Shares purchased by the Underwriters from the Selling Stockholder is [ </w:t>
      </w:r>
      <w:r>
        <w:rPr>
          <w:rFonts w:ascii="Wingdings" w:cs="Wingdings" w:eastAsia="Wingdings" w:hAnsi="Wingdings"/>
          <w:sz w:val="15"/>
          <w:szCs w:val="15"/>
          <w:b w:val="1"/>
          <w:bCs w:val="1"/>
          <w:color w:val="auto"/>
        </w:rPr>
        <w:t>o</w:t>
      </w:r>
      <w:r>
        <w:rPr>
          <w:rFonts w:ascii="Arial" w:cs="Arial" w:eastAsia="Arial" w:hAnsi="Arial"/>
          <w:sz w:val="15"/>
          <w:szCs w:val="15"/>
          <w:color w:val="auto"/>
        </w:rPr>
        <w:t xml:space="preserve"> ]. [Free Writing Prospectus dated [ </w:t>
      </w:r>
      <w:r>
        <w:rPr>
          <w:rFonts w:ascii="Wingdings" w:cs="Wingdings" w:eastAsia="Wingdings" w:hAnsi="Wingdings"/>
          <w:sz w:val="15"/>
          <w:szCs w:val="15"/>
          <w:b w:val="1"/>
          <w:bCs w:val="1"/>
          <w:color w:val="auto"/>
        </w:rPr>
        <w:t>l</w:t>
      </w:r>
      <w:r>
        <w:rPr>
          <w:rFonts w:ascii="Arial" w:cs="Arial" w:eastAsia="Arial" w:hAnsi="Arial"/>
          <w:sz w:val="15"/>
          <w:szCs w:val="15"/>
          <w:color w:val="auto"/>
        </w:rPr>
        <w:t xml:space="preserve"> ], 2026].</w:t>
      </w:r>
    </w:p>
    <w:p>
      <w:pPr>
        <w:ind w:left="236" w:hanging="236"/>
        <w:spacing w:after="0"/>
        <w:tabs>
          <w:tab w:leader="none" w:pos="236" w:val="left"/>
        </w:tabs>
        <w:numPr>
          <w:ilvl w:val="0"/>
          <w:numId w:val="71"/>
        </w:numPr>
        <w:rPr>
          <w:rFonts w:ascii="Arial" w:cs="Arial" w:eastAsia="Arial" w:hAnsi="Arial"/>
          <w:sz w:val="15"/>
          <w:szCs w:val="15"/>
          <w:color w:val="auto"/>
        </w:rPr>
      </w:pPr>
      <w:r>
        <w:rPr>
          <w:rFonts w:ascii="Arial" w:cs="Arial" w:eastAsia="Arial" w:hAnsi="Arial"/>
          <w:sz w:val="15"/>
          <w:szCs w:val="15"/>
          <w:color w:val="auto"/>
        </w:rPr>
        <w:t>Written Testing-the-Waters Communications:</w:t>
      </w:r>
    </w:p>
    <w:p>
      <w:pPr>
        <w:spacing w:after="0" w:line="185" w:lineRule="exact"/>
        <w:rPr>
          <w:sz w:val="20"/>
          <w:szCs w:val="20"/>
          <w:color w:val="auto"/>
        </w:rPr>
      </w:pPr>
    </w:p>
    <w:p>
      <w:pPr>
        <w:ind w:left="496"/>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0155"/>
          </w:cols>
          <w:pgMar w:left="304" w:top="1131"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15"/>
          <w:szCs w:val="15"/>
          <w:b w:val="1"/>
          <w:bCs w:val="1"/>
          <w:color w:val="auto"/>
        </w:rPr>
        <w:t>Form of Lock-Up Agreement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Pattern Group Inc.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Lock-Up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[Date]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J.P. Morgan Securities LLC</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Goldman Sachs &amp; Co. LLC</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As Representatives of the several Underwriters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named in Schedule I to the Underwriting Agreement</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c/o J.P. Morgan Securities LLC</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270 Park Avenue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10017</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c/o Goldman Sachs &amp; Co. LLC</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200 West Street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10282-2198</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Re: </w:t>
      </w:r>
      <w:r>
        <w:rPr>
          <w:rFonts w:ascii="Arial" w:cs="Arial" w:eastAsia="Arial" w:hAnsi="Arial"/>
          <w:sz w:val="15"/>
          <w:szCs w:val="15"/>
          <w:u w:val="single" w:color="auto"/>
          <w:color w:val="auto"/>
        </w:rPr>
        <w:t>Pattern Group Inc. Lock-Up Agreement</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The undersigned understands that you, as representatives (the “Representatives”), propose to enter into an underwriting agreement (the “Underwriting Agreement”) on behalf of the several underwriters named in Schedule I to such agreement (collectively, the “Underwriters”), with Pattern Group Inc., a Delaware corporation (the “Company”), and the selling stockholder listed on Schedule II to such agreement (the “Selling Stockholder”), providing for a public offering of shares (the “Shares”) of the Series A common stock, par value $0.001 per share, of the Company (the “Series A Common Stock”) pursuant to a Registration Statement on Form S-1 (the “Registration Statement”) to be filed with the Securities and Exchange Commission (the “SEC”). As used herein, the term “Common Stock” means the Series A Common Stock together with the Series B common stock, par value $0.001 per share, of the Company (the “Series B Common Stock”) and any shares into which such shares are reclassified, converted or exchanged.</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(the “Lock-Up Agreement”) and continuing to and including the date that is 90 days after the date of the final prospectus relating to the Public Offering (the “Prospectus”) (such period, the “Lock-Up Period”), the undersigned shall not, and shall not cause or direct any of his, her, its or their affiliates to, (i) offer, sell, contract to sell, pledge, grant any option, right or warrant to purchase, purchase any option or contract to sell, lend or otherwise transfer or dispose of any shares of Common Stock, or any options or warrants to purchase any shares of Common Stock, or any securities convertible into, exchangeable for or that represent the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II-1</w:t>
      </w:r>
    </w:p>
    <w:p>
      <w:pPr>
        <w:sectPr>
          <w:pgSz w:w="11900" w:h="16838" w:orient="portrait"/>
          <w:cols w:equalWidth="0" w:num="1">
            <w:col w:w="11280"/>
          </w:cols>
          <w:pgMar w:left="300" w:top="1131" w:right="319" w:bottom="1440" w:gutter="0" w:footer="0" w:header="0"/>
        </w:sectPr>
      </w:pPr>
    </w:p>
    <w:bookmarkStart w:id="75" w:name="page76"/>
    <w:bookmarkEnd w:id="75"/>
    <w:p>
      <w:pPr>
        <w:jc w:val="both"/>
        <w:spacing w:after="0" w:line="261" w:lineRule="auto"/>
        <w:rPr>
          <w:sz w:val="20"/>
          <w:szCs w:val="20"/>
          <w:color w:val="auto"/>
        </w:rPr>
      </w:pPr>
      <w:r>
        <w:rPr>
          <w:rFonts w:ascii="Arial" w:cs="Arial" w:eastAsia="Arial" w:hAnsi="Arial"/>
          <w:sz w:val="15"/>
          <w:szCs w:val="15"/>
          <w:color w:val="auto"/>
        </w:rPr>
        <w:t>receive shares of Common Stock (such shares of Common Stock, options, rights, warrants or other securities, collectively, the “Lock-Up Securities”), including without limitation any such Lock-Up Securities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 (ii) or (iii) above. The undersigned represents and warrants that the undersigned is not, and has not caused or directed any of his, her, its or their affiliates to be or become, currently a party to any agreement or arrangement that provides for, is designed to or reasonably could be expected to lead to or result in any Transfer during the Lock-Up Period.</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Notwithstanding the foregoing, the undersigned may:</w:t>
      </w:r>
    </w:p>
    <w:p>
      <w:pPr>
        <w:spacing w:after="0" w:line="175" w:lineRule="exact"/>
        <w:rPr>
          <w:sz w:val="20"/>
          <w:szCs w:val="20"/>
          <w:color w:val="auto"/>
        </w:rPr>
      </w:pPr>
    </w:p>
    <w:p>
      <w:pPr>
        <w:ind w:left="360" w:hanging="356"/>
        <w:spacing w:after="0"/>
        <w:tabs>
          <w:tab w:leader="none" w:pos="3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transfer the undersigned’s Lock-Up Securities:</w:t>
      </w:r>
    </w:p>
    <w:p>
      <w:pPr>
        <w:spacing w:after="0" w:line="185" w:lineRule="exact"/>
        <w:rPr>
          <w:rFonts w:ascii="Arial" w:cs="Arial" w:eastAsia="Arial" w:hAnsi="Arial"/>
          <w:sz w:val="15"/>
          <w:szCs w:val="15"/>
          <w:color w:val="auto"/>
        </w:rPr>
      </w:pPr>
    </w:p>
    <w:p>
      <w:pPr>
        <w:ind w:left="680" w:hanging="171"/>
        <w:spacing w:after="0"/>
        <w:tabs>
          <w:tab w:leader="none" w:pos="680" w:val="left"/>
        </w:tabs>
        <w:numPr>
          <w:ilvl w:val="1"/>
          <w:numId w:val="72"/>
        </w:numPr>
        <w:rPr>
          <w:rFonts w:ascii="Arial" w:cs="Arial" w:eastAsia="Arial" w:hAnsi="Arial"/>
          <w:sz w:val="15"/>
          <w:szCs w:val="15"/>
          <w:color w:val="auto"/>
        </w:rPr>
      </w:pPr>
      <w:r>
        <w:rPr>
          <w:rFonts w:ascii="Arial" w:cs="Arial" w:eastAsia="Arial" w:hAnsi="Arial"/>
          <w:sz w:val="15"/>
          <w:szCs w:val="15"/>
          <w:color w:val="auto"/>
        </w:rPr>
        <w:t xml:space="preserve">as one or more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gifts or charitable contributions, or for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estate planning purposes;</w:t>
      </w:r>
    </w:p>
    <w:p>
      <w:pPr>
        <w:spacing w:after="0" w:line="174" w:lineRule="exact"/>
        <w:rPr>
          <w:rFonts w:ascii="Arial" w:cs="Arial" w:eastAsia="Arial" w:hAnsi="Arial"/>
          <w:sz w:val="15"/>
          <w:szCs w:val="15"/>
          <w:color w:val="auto"/>
        </w:rPr>
      </w:pPr>
    </w:p>
    <w:p>
      <w:pPr>
        <w:ind w:firstLine="509"/>
        <w:spacing w:after="0" w:line="304" w:lineRule="auto"/>
        <w:tabs>
          <w:tab w:leader="none" w:pos="731" w:val="left"/>
        </w:tabs>
        <w:numPr>
          <w:ilvl w:val="1"/>
          <w:numId w:val="72"/>
        </w:numPr>
        <w:rPr>
          <w:rFonts w:ascii="Arial" w:cs="Arial" w:eastAsia="Arial" w:hAnsi="Arial"/>
          <w:sz w:val="15"/>
          <w:szCs w:val="15"/>
          <w:color w:val="auto"/>
        </w:rPr>
      </w:pPr>
      <w:r>
        <w:rPr>
          <w:rFonts w:ascii="Arial" w:cs="Arial" w:eastAsia="Arial" w:hAnsi="Arial"/>
          <w:sz w:val="15"/>
          <w:szCs w:val="15"/>
          <w:color w:val="auto"/>
        </w:rPr>
        <w:t>upon death or by will, intestate succession, other testamentary document, or pursuant to a so-called “living trust” or other revocable trust established to provide for the disposition of property on the undersigned’s death;</w:t>
      </w:r>
    </w:p>
    <w:p>
      <w:pPr>
        <w:spacing w:after="0" w:line="110" w:lineRule="exact"/>
        <w:rPr>
          <w:rFonts w:ascii="Arial" w:cs="Arial" w:eastAsia="Arial" w:hAnsi="Arial"/>
          <w:sz w:val="15"/>
          <w:szCs w:val="15"/>
          <w:color w:val="auto"/>
        </w:rPr>
      </w:pPr>
    </w:p>
    <w:p>
      <w:pPr>
        <w:jc w:val="both"/>
        <w:ind w:firstLine="509"/>
        <w:spacing w:after="0" w:line="267" w:lineRule="auto"/>
        <w:tabs>
          <w:tab w:leader="none" w:pos="757" w:val="left"/>
        </w:tabs>
        <w:numPr>
          <w:ilvl w:val="1"/>
          <w:numId w:val="72"/>
        </w:numPr>
        <w:rPr>
          <w:rFonts w:ascii="Arial" w:cs="Arial" w:eastAsia="Arial" w:hAnsi="Arial"/>
          <w:sz w:val="15"/>
          <w:szCs w:val="15"/>
          <w:color w:val="auto"/>
        </w:rPr>
      </w:pPr>
      <w:r>
        <w:rPr>
          <w:rFonts w:ascii="Arial" w:cs="Arial" w:eastAsia="Arial" w:hAnsi="Arial"/>
          <w:sz w:val="15"/>
          <w:szCs w:val="15"/>
          <w:color w:val="auto"/>
        </w:rPr>
        <w:t>if the undersigned is a natural person, to any member of the undersigned’s immediate family (for purposes of this Lock-Up Agreement, “immediate family” shall mean any relationship by blood, current or former marriage, domestic partnership or adoption, not more remote than first cousin) or to any trust for the direct or indirect benefit of the undersigned or the immediate family of the undersigned or, if the undersigned is a trust, to a trustor, trustee or beneficiary of the trust or the estate of a beneficiary of such trust;</w:t>
      </w:r>
    </w:p>
    <w:p>
      <w:pPr>
        <w:spacing w:after="0" w:line="137" w:lineRule="exact"/>
        <w:rPr>
          <w:rFonts w:ascii="Arial" w:cs="Arial" w:eastAsia="Arial" w:hAnsi="Arial"/>
          <w:sz w:val="15"/>
          <w:szCs w:val="15"/>
          <w:color w:val="auto"/>
        </w:rPr>
      </w:pPr>
    </w:p>
    <w:p>
      <w:pPr>
        <w:ind w:firstLine="509"/>
        <w:spacing w:after="0" w:line="289" w:lineRule="auto"/>
        <w:tabs>
          <w:tab w:leader="none" w:pos="769" w:val="left"/>
        </w:tabs>
        <w:numPr>
          <w:ilvl w:val="1"/>
          <w:numId w:val="72"/>
        </w:numPr>
        <w:rPr>
          <w:rFonts w:ascii="Arial" w:cs="Arial" w:eastAsia="Arial" w:hAnsi="Arial"/>
          <w:sz w:val="15"/>
          <w:szCs w:val="15"/>
          <w:color w:val="auto"/>
        </w:rPr>
      </w:pPr>
      <w:r>
        <w:rPr>
          <w:rFonts w:ascii="Arial" w:cs="Arial" w:eastAsia="Arial" w:hAnsi="Arial"/>
          <w:sz w:val="15"/>
          <w:szCs w:val="15"/>
          <w:color w:val="auto"/>
        </w:rPr>
        <w:t>to a partnership, limited liability company, corporation or other entity of which the undersigned and the immediate family of the undersigned are the legal and beneficial owner of all of the outstanding equity securities or similar interests;</w:t>
      </w:r>
    </w:p>
    <w:p>
      <w:pPr>
        <w:spacing w:after="0" w:line="121" w:lineRule="exact"/>
        <w:rPr>
          <w:rFonts w:ascii="Arial" w:cs="Arial" w:eastAsia="Arial" w:hAnsi="Arial"/>
          <w:sz w:val="15"/>
          <w:szCs w:val="15"/>
          <w:color w:val="auto"/>
        </w:rPr>
      </w:pPr>
    </w:p>
    <w:p>
      <w:pPr>
        <w:ind w:left="740" w:hanging="231"/>
        <w:spacing w:after="0"/>
        <w:tabs>
          <w:tab w:leader="none" w:pos="740" w:val="left"/>
        </w:tabs>
        <w:numPr>
          <w:ilvl w:val="1"/>
          <w:numId w:val="72"/>
        </w:numPr>
        <w:rPr>
          <w:rFonts w:ascii="Arial" w:cs="Arial" w:eastAsia="Arial" w:hAnsi="Arial"/>
          <w:sz w:val="15"/>
          <w:szCs w:val="15"/>
          <w:color w:val="auto"/>
        </w:rPr>
      </w:pPr>
      <w:r>
        <w:rPr>
          <w:rFonts w:ascii="Arial" w:cs="Arial" w:eastAsia="Arial" w:hAnsi="Arial"/>
          <w:sz w:val="15"/>
          <w:szCs w:val="15"/>
          <w:color w:val="auto"/>
        </w:rPr>
        <w:t>to a nominee or custodian of a person or entity to whom a disposition or transfer would be permissible under clauses (a)(i) through (iv) above;</w:t>
      </w:r>
    </w:p>
    <w:p>
      <w:pPr>
        <w:spacing w:after="0" w:line="185" w:lineRule="exact"/>
        <w:rPr>
          <w:rFonts w:ascii="Arial" w:cs="Arial" w:eastAsia="Arial" w:hAnsi="Arial"/>
          <w:sz w:val="15"/>
          <w:szCs w:val="15"/>
          <w:color w:val="auto"/>
        </w:rPr>
      </w:pPr>
    </w:p>
    <w:p>
      <w:pPr>
        <w:jc w:val="both"/>
        <w:ind w:firstLine="509"/>
        <w:spacing w:after="0" w:line="276" w:lineRule="auto"/>
        <w:tabs>
          <w:tab w:leader="none" w:pos="778" w:val="left"/>
        </w:tabs>
        <w:numPr>
          <w:ilvl w:val="1"/>
          <w:numId w:val="72"/>
        </w:numPr>
        <w:rPr>
          <w:rFonts w:ascii="Arial" w:cs="Arial" w:eastAsia="Arial" w:hAnsi="Arial"/>
          <w:sz w:val="15"/>
          <w:szCs w:val="15"/>
          <w:color w:val="auto"/>
        </w:rPr>
      </w:pPr>
      <w:r>
        <w:rPr>
          <w:rFonts w:ascii="Arial" w:cs="Arial" w:eastAsia="Arial" w:hAnsi="Arial"/>
          <w:sz w:val="15"/>
          <w:szCs w:val="15"/>
          <w:color w:val="auto"/>
        </w:rPr>
        <w:t>if the undersigned is a corporation, partnership, limited liability company, trust, or other business entity, (A) to another corporation, partnership, limited liability company, trust, or other business entity that is an affiliate (as defined in Rule 405 under the Securities Act of 1933, as amended) of the undersigned, (B) to any investment fund or other entity controlling,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II-2</w:t>
      </w:r>
    </w:p>
    <w:p>
      <w:pPr>
        <w:sectPr>
          <w:pgSz w:w="11900" w:h="16838" w:orient="portrait"/>
          <w:cols w:equalWidth="0" w:num="1">
            <w:col w:w="11280"/>
          </w:cols>
          <w:pgMar w:left="300" w:top="1133" w:right="319" w:bottom="1440" w:gutter="0" w:footer="0" w:header="0"/>
        </w:sectPr>
      </w:pPr>
    </w:p>
    <w:bookmarkStart w:id="76" w:name="page77"/>
    <w:bookmarkEnd w:id="76"/>
    <w:p>
      <w:pPr>
        <w:jc w:val="both"/>
        <w:spacing w:after="0" w:line="266" w:lineRule="auto"/>
        <w:rPr>
          <w:sz w:val="20"/>
          <w:szCs w:val="20"/>
          <w:color w:val="auto"/>
        </w:rPr>
      </w:pPr>
      <w:r>
        <w:rPr>
          <w:rFonts w:ascii="Arial" w:cs="Arial" w:eastAsia="Arial" w:hAnsi="Arial"/>
          <w:sz w:val="15"/>
          <w:szCs w:val="15"/>
          <w:color w:val="auto"/>
        </w:rPr>
        <w:t>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(C) as part of a distribution, transfer, or disposition by the undersigned to its stockholders, partners, members or other equityholders, as the case may be, or to the estate of any such stockholders, partners, members or other equityholders, (D) to any wholly owned subsidiary of the undersigned or (E) if a transferee referred to in clauses (A) through (D) above is not a natural person, any director or indirect partner, member, stockholder or equityholder of such transferee until the Lock-Up Securities come to be held by a natural person;</w:t>
      </w:r>
    </w:p>
    <w:p>
      <w:pPr>
        <w:spacing w:after="0" w:line="328" w:lineRule="exact"/>
        <w:rPr>
          <w:sz w:val="20"/>
          <w:szCs w:val="20"/>
          <w:color w:val="auto"/>
        </w:rPr>
      </w:pPr>
    </w:p>
    <w:p>
      <w:pPr>
        <w:ind w:firstLine="509"/>
        <w:spacing w:after="0" w:line="289" w:lineRule="auto"/>
        <w:tabs>
          <w:tab w:leader="none" w:pos="798" w:val="left"/>
        </w:tabs>
        <w:numPr>
          <w:ilvl w:val="0"/>
          <w:numId w:val="73"/>
        </w:numPr>
        <w:rPr>
          <w:rFonts w:ascii="Arial" w:cs="Arial" w:eastAsia="Arial" w:hAnsi="Arial"/>
          <w:sz w:val="15"/>
          <w:szCs w:val="15"/>
          <w:color w:val="auto"/>
        </w:rPr>
      </w:pPr>
      <w:r>
        <w:rPr>
          <w:rFonts w:ascii="Arial" w:cs="Arial" w:eastAsia="Arial" w:hAnsi="Arial"/>
          <w:sz w:val="15"/>
          <w:szCs w:val="15"/>
          <w:color w:val="auto"/>
        </w:rPr>
        <w:t>by operation of law, such as pursuant to a qualified domestic order, divorce settlement, divorce decree, separation agreement, or other order of a court or regulatory agency;</w:t>
      </w:r>
    </w:p>
    <w:p>
      <w:pPr>
        <w:spacing w:after="0" w:line="121" w:lineRule="exact"/>
        <w:rPr>
          <w:rFonts w:ascii="Arial" w:cs="Arial" w:eastAsia="Arial" w:hAnsi="Arial"/>
          <w:sz w:val="15"/>
          <w:szCs w:val="15"/>
          <w:color w:val="auto"/>
        </w:rPr>
      </w:pPr>
    </w:p>
    <w:p>
      <w:pPr>
        <w:jc w:val="both"/>
        <w:ind w:firstLine="509"/>
        <w:spacing w:after="0" w:line="276" w:lineRule="auto"/>
        <w:tabs>
          <w:tab w:leader="none" w:pos="8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to the Company from a current or former employee or service provider of the Company in connection with the repurchase of shares of Common Stock issued pursuant to equity awards granted under a stock incentive plan or other equity award plan or pursuant to the agreements pursuant to which such shares were issued, which plan or agreement is described in the Prospectus, or upon death, disability or termination of employment, in each case, of such employee or service provider;</w:t>
      </w:r>
    </w:p>
    <w:p>
      <w:pPr>
        <w:spacing w:after="0" w:line="309" w:lineRule="exact"/>
        <w:rPr>
          <w:rFonts w:ascii="Arial" w:cs="Arial" w:eastAsia="Arial" w:hAnsi="Arial"/>
          <w:sz w:val="15"/>
          <w:szCs w:val="15"/>
          <w:color w:val="auto"/>
        </w:rPr>
      </w:pPr>
    </w:p>
    <w:p>
      <w:pPr>
        <w:ind w:firstLine="509"/>
        <w:spacing w:after="0" w:line="304" w:lineRule="auto"/>
        <w:tabs>
          <w:tab w:leader="none" w:pos="764" w:val="left"/>
        </w:tabs>
        <w:numPr>
          <w:ilvl w:val="0"/>
          <w:numId w:val="73"/>
        </w:numPr>
        <w:rPr>
          <w:rFonts w:ascii="Arial" w:cs="Arial" w:eastAsia="Arial" w:hAnsi="Arial"/>
          <w:sz w:val="15"/>
          <w:szCs w:val="15"/>
          <w:color w:val="auto"/>
        </w:rPr>
      </w:pPr>
      <w:r>
        <w:rPr>
          <w:rFonts w:ascii="Arial" w:cs="Arial" w:eastAsia="Arial" w:hAnsi="Arial"/>
          <w:sz w:val="15"/>
          <w:szCs w:val="15"/>
          <w:color w:val="auto"/>
        </w:rPr>
        <w:t>if the undersigned is not an officer or director of the Company, in connection with a sale of the undersigned’s Lock-Up Securities acquired (A) in the Public Offering or (B) in open market transactions after the closing date of the Public Offering;</w:t>
      </w:r>
    </w:p>
    <w:p>
      <w:pPr>
        <w:spacing w:after="0" w:line="99" w:lineRule="exact"/>
        <w:rPr>
          <w:rFonts w:ascii="Arial" w:cs="Arial" w:eastAsia="Arial" w:hAnsi="Arial"/>
          <w:sz w:val="15"/>
          <w:szCs w:val="15"/>
          <w:color w:val="auto"/>
        </w:rPr>
      </w:pPr>
    </w:p>
    <w:p>
      <w:pPr>
        <w:jc w:val="both"/>
        <w:ind w:firstLine="509"/>
        <w:spacing w:after="0" w:line="263" w:lineRule="auto"/>
        <w:tabs>
          <w:tab w:leader="none" w:pos="733" w:val="left"/>
        </w:tabs>
        <w:numPr>
          <w:ilvl w:val="0"/>
          <w:numId w:val="73"/>
        </w:numPr>
        <w:rPr>
          <w:rFonts w:ascii="Arial" w:cs="Arial" w:eastAsia="Arial" w:hAnsi="Arial"/>
          <w:sz w:val="15"/>
          <w:szCs w:val="15"/>
          <w:color w:val="auto"/>
        </w:rPr>
      </w:pPr>
      <w:r>
        <w:rPr>
          <w:rFonts w:ascii="Arial" w:cs="Arial" w:eastAsia="Arial" w:hAnsi="Arial"/>
          <w:sz w:val="15"/>
          <w:szCs w:val="15"/>
          <w:color w:val="auto"/>
        </w:rPr>
        <w:t>to the Company in connection with the vesting, settlement or exercise of restricted stock units, shares of restricted stock, options, warrants or other rights to purchase shares of Common Stock (including, in each case, by way of “net” or “cashless” exercise), including any transfer to the Company for the payment of tax withholdings or remittance payments due as a result of the vesting, settlement or exercise of such restricted stock units, shares of restricted stock, options, warrants or other rights, or in connection with the conversion or exchange of convertible or exchangeable securities of the Company or any of its subsidiaries, in all such cases pursuant to equity awards granted under a stock incentive plan or other equity award plan or arrangement, or pursuant to the terms of convertible or exchangeable securities, as applicable, each as described in or filed as an exhibit to the Registration Statement, the Pricing Disclosure Package (as defined in the Underwriting Agreement) and the Prospectus; provided that any securities received upon such vesting, settlement, exercise or conversion that are not transferred to the Company to cover any such tax obligations shall be subject to the terms of this Lock-Up Agreement;</w:t>
      </w:r>
    </w:p>
    <w:p>
      <w:pPr>
        <w:spacing w:after="0" w:line="139" w:lineRule="exact"/>
        <w:rPr>
          <w:rFonts w:ascii="Arial" w:cs="Arial" w:eastAsia="Arial" w:hAnsi="Arial"/>
          <w:sz w:val="15"/>
          <w:szCs w:val="15"/>
          <w:color w:val="auto"/>
        </w:rPr>
      </w:pPr>
    </w:p>
    <w:p>
      <w:pPr>
        <w:jc w:val="both"/>
        <w:ind w:firstLine="509"/>
        <w:spacing w:after="0" w:line="266" w:lineRule="auto"/>
        <w:tabs>
          <w:tab w:leader="none" w:pos="777" w:val="left"/>
        </w:tabs>
        <w:numPr>
          <w:ilvl w:val="0"/>
          <w:numId w:val="73"/>
        </w:numPr>
        <w:rPr>
          <w:rFonts w:ascii="Arial" w:cs="Arial" w:eastAsia="Arial" w:hAnsi="Arial"/>
          <w:sz w:val="15"/>
          <w:szCs w:val="15"/>
          <w:color w:val="auto"/>
        </w:rPr>
      </w:pPr>
      <w:r>
        <w:rPr>
          <w:rFonts w:ascii="Arial" w:cs="Arial" w:eastAsia="Arial" w:hAnsi="Arial"/>
          <w:sz w:val="15"/>
          <w:szCs w:val="15"/>
          <w:color w:val="auto"/>
        </w:rPr>
        <w:t>in “sell to cover” or similar open market transactions (including, without limitation, sales pursuant to any written plan meeting the requirements of Rule 10b5-1 (a “10b5-1 Plan”) under the Securities Exchange Act of 1934, as amended (the “Exchange Act”) relating to the transfer, sale or other disposition of the undersigned’s Lock-Up Securities) during the Lock-Up Period to satisfy tax withholding obligations as a result of the exercise, vesting and/or settlement of Company equity awards (including options and restricted stock units) held by the undersigned and issued pursuant to a plan or arrangement described in the Prospectus or the Prospectus Supplement (including the documents incorporated by reference therein), provided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II-3</w:t>
      </w:r>
    </w:p>
    <w:p>
      <w:pPr>
        <w:sectPr>
          <w:pgSz w:w="11900" w:h="16838" w:orient="portrait"/>
          <w:cols w:equalWidth="0" w:num="1">
            <w:col w:w="11280"/>
          </w:cols>
          <w:pgMar w:left="300" w:top="1133" w:right="319" w:bottom="1440" w:gutter="0" w:footer="0" w:header="0"/>
        </w:sectPr>
      </w:pPr>
    </w:p>
    <w:bookmarkStart w:id="77" w:name="page78"/>
    <w:bookmarkEnd w:id="77"/>
    <w:p>
      <w:pPr>
        <w:spacing w:after="0" w:line="304" w:lineRule="auto"/>
        <w:rPr>
          <w:sz w:val="20"/>
          <w:szCs w:val="20"/>
          <w:color w:val="auto"/>
        </w:rPr>
      </w:pPr>
      <w:r>
        <w:rPr>
          <w:rFonts w:ascii="Arial" w:cs="Arial" w:eastAsia="Arial" w:hAnsi="Arial"/>
          <w:sz w:val="15"/>
          <w:szCs w:val="15"/>
          <w:color w:val="auto"/>
        </w:rPr>
        <w:t>securities received upon such exercise, vesting and/or settlement that are not transferred in accordance with this clause (xi) shall be subject to the terms of this Lock-Up Agreement;</w:t>
      </w:r>
    </w:p>
    <w:p>
      <w:pPr>
        <w:spacing w:after="0" w:line="100" w:lineRule="exact"/>
        <w:rPr>
          <w:sz w:val="20"/>
          <w:szCs w:val="20"/>
          <w:color w:val="auto"/>
        </w:rPr>
      </w:pPr>
    </w:p>
    <w:p>
      <w:pPr>
        <w:jc w:val="both"/>
        <w:ind w:firstLine="509"/>
        <w:spacing w:after="0" w:line="272" w:lineRule="auto"/>
        <w:tabs>
          <w:tab w:leader="none" w:pos="822" w:val="left"/>
        </w:tabs>
        <w:numPr>
          <w:ilvl w:val="0"/>
          <w:numId w:val="74"/>
        </w:numPr>
        <w:rPr>
          <w:rFonts w:ascii="Arial" w:cs="Arial" w:eastAsia="Arial" w:hAnsi="Arial"/>
          <w:sz w:val="15"/>
          <w:szCs w:val="15"/>
          <w:color w:val="auto"/>
        </w:rPr>
      </w:pPr>
      <w:r>
        <w:rPr>
          <w:rFonts w:ascii="Arial" w:cs="Arial" w:eastAsia="Arial" w:hAnsi="Arial"/>
          <w:sz w:val="15"/>
          <w:szCs w:val="15"/>
          <w:color w:val="auto"/>
        </w:rPr>
        <w:t>to the Company in connection with the conversion, exchange or reclassification of the outstanding equity securities of the Company into shares of Common Stock, including the conversion or reclassification of the outstanding shares of common stock or preferred stock of the Company into shares of Common Stock in connection with the consummation of the Public Offering, or any reclassification, exchange or conversion of the Common Stock, provided that any such shares of Common Stock received upon such conversion or reclassification shall be subject to the terms of this Lock-Up Agreement;</w:t>
      </w:r>
    </w:p>
    <w:p>
      <w:pPr>
        <w:spacing w:after="0" w:line="133" w:lineRule="exact"/>
        <w:rPr>
          <w:rFonts w:ascii="Arial" w:cs="Arial" w:eastAsia="Arial" w:hAnsi="Arial"/>
          <w:sz w:val="15"/>
          <w:szCs w:val="15"/>
          <w:color w:val="auto"/>
        </w:rPr>
      </w:pPr>
    </w:p>
    <w:p>
      <w:pPr>
        <w:ind w:left="840" w:hanging="331"/>
        <w:spacing w:after="0"/>
        <w:tabs>
          <w:tab w:leader="none" w:pos="8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in a transaction consummated in accordance with a 10b5-1 Plan existing or entered into prior to the date hereof; or</w:t>
      </w:r>
    </w:p>
    <w:p>
      <w:pPr>
        <w:spacing w:after="0" w:line="174" w:lineRule="exact"/>
        <w:rPr>
          <w:rFonts w:ascii="Arial" w:cs="Arial" w:eastAsia="Arial" w:hAnsi="Arial"/>
          <w:sz w:val="15"/>
          <w:szCs w:val="15"/>
          <w:color w:val="auto"/>
        </w:rPr>
      </w:pPr>
    </w:p>
    <w:p>
      <w:pPr>
        <w:ind w:left="840" w:hanging="331"/>
        <w:spacing w:after="0"/>
        <w:tabs>
          <w:tab w:leader="none" w:pos="8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with the prior written consent of the Representatives on behalf of the Underwriters;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provided that (A) in the case of clauses (a)(i), (ii), (iii), (iv), (v) and (vi) above, such transfer or distribution shall not involve a disposition for value, (B) in the case of clauses (a)(i), (ii), (iii), (iv), (v), (vi) and (vii) above, it shall be a condition to the transfer or distribution that the donee, devisee, transferee or distributee, as the case may be, shall sign and deliver a lock-up agreement in the form of this Lock-Up Agreement, (C) in the case of clauses (a)(ii), (iii), (iv), (v) and (vi) above, no filing by any party (including, without limitation, any donor, donee, devisee, transferor, transferee, distributor or distributee) under the Exchange Act, or other public filing, report or announcement reporting a reduction in beneficial ownership of Lock-Up Securities shall be required or shall be voluntarily made in connection with such transfer or distribution, and (D) in the case of clauses (a)(i), (vii), (viii), (ix), (x), (xi) and (xii)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the circumstances of such transfer or distribution;</w:t>
      </w:r>
    </w:p>
    <w:p>
      <w:pPr>
        <w:spacing w:after="0" w:line="140" w:lineRule="exact"/>
        <w:rPr>
          <w:sz w:val="20"/>
          <w:szCs w:val="20"/>
          <w:color w:val="auto"/>
        </w:rPr>
      </w:pPr>
    </w:p>
    <w:p>
      <w:pPr>
        <w:jc w:val="both"/>
        <w:ind w:firstLine="4"/>
        <w:spacing w:after="0" w:line="267" w:lineRule="auto"/>
        <w:tabs>
          <w:tab w:leader="none" w:pos="477" w:val="left"/>
        </w:tabs>
        <w:numPr>
          <w:ilvl w:val="0"/>
          <w:numId w:val="75"/>
        </w:numPr>
        <w:rPr>
          <w:rFonts w:ascii="Arial" w:cs="Arial" w:eastAsia="Arial" w:hAnsi="Arial"/>
          <w:sz w:val="15"/>
          <w:szCs w:val="15"/>
          <w:color w:val="auto"/>
        </w:rPr>
      </w:pPr>
      <w:r>
        <w:rPr>
          <w:rFonts w:ascii="Arial" w:cs="Arial" w:eastAsia="Arial" w:hAnsi="Arial"/>
          <w:sz w:val="15"/>
          <w:szCs w:val="15"/>
          <w:color w:val="auto"/>
        </w:rPr>
        <w:t>exercise outstanding options, settle restricted stock units or other equity awards pursuant to plans described in the Registration Statement, the Pricing Disclosure Package (as defined in the Underwriting Agreement) and the Prospectus (including the documents incorporated by reference therein) or exercise warrants described in the Registration Statement, the Pricing Disclosure Package and the Prospectus; provided that any Lock-Up Securities received upon such exercise, vesting or settlement shall be subject to the terms of this Lock-Up Agreement;</w:t>
      </w:r>
    </w:p>
    <w:p>
      <w:pPr>
        <w:spacing w:after="0" w:line="137" w:lineRule="exact"/>
        <w:rPr>
          <w:rFonts w:ascii="Arial" w:cs="Arial" w:eastAsia="Arial" w:hAnsi="Arial"/>
          <w:sz w:val="15"/>
          <w:szCs w:val="15"/>
          <w:color w:val="auto"/>
        </w:rPr>
      </w:pPr>
    </w:p>
    <w:p>
      <w:pPr>
        <w:jc w:val="both"/>
        <w:ind w:firstLine="4"/>
        <w:spacing w:after="0" w:line="265" w:lineRule="auto"/>
        <w:tabs>
          <w:tab w:leader="none" w:pos="3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enter into 10b5-1 Plan relating to the transfer, sale or other disposition of the undersigned’s Lock-Up Securities, if then permitted by the Company, provided that none of the securities subject to such plan may be transferred, sold or otherwise disposed of until after the expiration of the Lock-Up Period (except to the extent otherwise allowed pursuant to this Lock-Up Agreement)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therein that none of the securities subject to such plan may be transferred, sold, or otherwise disposed of pursuant to such plan until after the expiration of the Lock-Up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II-4</w:t>
      </w:r>
    </w:p>
    <w:p>
      <w:pPr>
        <w:sectPr>
          <w:pgSz w:w="11900" w:h="16838" w:orient="portrait"/>
          <w:cols w:equalWidth="0" w:num="1">
            <w:col w:w="11280"/>
          </w:cols>
          <w:pgMar w:left="300" w:top="1133" w:right="319" w:bottom="1440" w:gutter="0" w:footer="0" w:header="0"/>
        </w:sectPr>
      </w:pPr>
    </w:p>
    <w:bookmarkStart w:id="78" w:name="page79"/>
    <w:bookmarkEnd w:id="78"/>
    <w:p>
      <w:pPr>
        <w:jc w:val="both"/>
        <w:ind w:firstLine="4"/>
        <w:spacing w:after="0" w:line="263" w:lineRule="auto"/>
        <w:tabs>
          <w:tab w:leader="none" w:pos="371" w:val="left"/>
        </w:tabs>
        <w:numPr>
          <w:ilvl w:val="0"/>
          <w:numId w:val="76"/>
        </w:numPr>
        <w:rPr>
          <w:rFonts w:ascii="Arial" w:cs="Arial" w:eastAsia="Arial" w:hAnsi="Arial"/>
          <w:sz w:val="15"/>
          <w:szCs w:val="15"/>
          <w:color w:val="auto"/>
        </w:rPr>
      </w:pPr>
      <w:r>
        <w:rPr>
          <w:rFonts w:ascii="Arial" w:cs="Arial" w:eastAsia="Arial" w:hAnsi="Arial"/>
          <w:sz w:val="15"/>
          <w:szCs w:val="15"/>
          <w:color w:val="auto"/>
        </w:rPr>
        <w:t>transfer the undersigned’s Lock-Up Securities pursuant to a bona fide third 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all of the undersigned’s Lock-Up Securities that are not transferred, tendered or otherwise, disposed of shall remain subject to this Lock-Up Agreement; and provided further that in the event that such tender offer, merger, consolidation or other similar transaction is not completed, all of the undersigned’s Lock Up Securities shall remain subject to the provisions of this Lock Up Agreement; and</w:t>
      </w:r>
    </w:p>
    <w:p>
      <w:pPr>
        <w:spacing w:after="0" w:line="328" w:lineRule="exact"/>
        <w:rPr>
          <w:rFonts w:ascii="Arial" w:cs="Arial" w:eastAsia="Arial" w:hAnsi="Arial"/>
          <w:sz w:val="15"/>
          <w:szCs w:val="15"/>
          <w:color w:val="auto"/>
        </w:rPr>
      </w:pPr>
    </w:p>
    <w:p>
      <w:pPr>
        <w:ind w:left="360" w:hanging="356"/>
        <w:spacing w:after="0"/>
        <w:tabs>
          <w:tab w:leader="none" w:pos="3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sell the Shares to be sold by the undersigned, if any, pursuant to the terms of the Underwriting Agreement.</w:t>
      </w:r>
    </w:p>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 If the undersigned is not a natural person, the undersigned represents and warrants that no single natural person, entity or “group” (within the meaning of Section 13(d)</w:t>
      </w:r>
    </w:p>
    <w:p>
      <w:pPr>
        <w:jc w:val="both"/>
        <w:ind w:firstLine="4"/>
        <w:spacing w:after="0" w:line="275" w:lineRule="auto"/>
        <w:tabs>
          <w:tab w:leader="none" w:pos="236" w:val="left"/>
        </w:tabs>
        <w:numPr>
          <w:ilvl w:val="0"/>
          <w:numId w:val="77"/>
        </w:numPr>
        <w:rPr>
          <w:rFonts w:ascii="Arial" w:cs="Arial" w:eastAsia="Arial" w:hAnsi="Arial"/>
          <w:sz w:val="15"/>
          <w:szCs w:val="15"/>
          <w:color w:val="auto"/>
        </w:rPr>
      </w:pPr>
      <w:r>
        <w:rPr>
          <w:rFonts w:ascii="Arial" w:cs="Arial" w:eastAsia="Arial" w:hAnsi="Arial"/>
          <w:sz w:val="15"/>
          <w:szCs w:val="15"/>
          <w:color w:val="auto"/>
        </w:rPr>
        <w:t>of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306"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Notwithstanding anything to the contrary herein, if the undersigned is an employee, officer or a director of the Company, the undersigned hereby acknowledges that the undersigned shall remain subject to the Company’s regular quarterly “black-out” periods under the Company’s insider trading policy.</w:t>
      </w:r>
    </w:p>
    <w:p>
      <w:pPr>
        <w:spacing w:after="0" w:line="10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undersigned now has, and, except as contemplated hereby, for the duration of this Lock-Up Agreement will have, good and marketable title to the undersigned’s Lock-Up Securities, free and clear of all liens, encumbrances and claims whatsoever. The undersigned also agrees and consents to the entry of stop transfer instructions with the Company’s transfer agent and registrar against the transfer of the undersigned’s Lock-Up Securities except in compliance with the foregoing restrictions.</w:t>
      </w:r>
    </w:p>
    <w:p>
      <w:pPr>
        <w:spacing w:after="0" w:line="320"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his, hers, its or their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II-5</w:t>
      </w:r>
    </w:p>
    <w:p>
      <w:pPr>
        <w:sectPr>
          <w:pgSz w:w="11900" w:h="16838" w:orient="portrait"/>
          <w:cols w:equalWidth="0" w:num="1">
            <w:col w:w="11280"/>
          </w:cols>
          <w:pgMar w:left="300" w:top="1133" w:right="319" w:bottom="1440" w:gutter="0" w:footer="0" w:header="0"/>
        </w:sectPr>
      </w:pPr>
    </w:p>
    <w:bookmarkStart w:id="79" w:name="page80"/>
    <w:bookmarkEnd w:id="79"/>
    <w:p>
      <w:pPr>
        <w:jc w:val="both"/>
        <w:spacing w:after="0" w:line="304" w:lineRule="auto"/>
        <w:rPr>
          <w:sz w:val="20"/>
          <w:szCs w:val="20"/>
          <w:color w:val="auto"/>
        </w:rPr>
      </w:pPr>
      <w:r>
        <w:rPr>
          <w:rFonts w:ascii="Arial" w:cs="Arial" w:eastAsia="Arial" w:hAnsi="Arial"/>
          <w:sz w:val="15"/>
          <w:szCs w:val="15"/>
          <w:color w:val="auto"/>
        </w:rPr>
        <w:t>from transferring, selling or disposing of, any shares of Common Stock, and nothing set forth in such disclosures or herein is intended to suggest that any Underwriter is making such a recommendation.</w:t>
      </w:r>
    </w:p>
    <w:p>
      <w:pPr>
        <w:spacing w:after="0" w:line="100"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This Lock-Up Agreement shall automatically terminate and the undersigned shall be automatically released from all of his, her, its or their obligations hereunder upon the earlier of (i) the date on which the Registration Statement filed with the SEC with respect to the Public Offering is withdrawn, (ii) the date on which for any reason the Underwriting Agreement is terminated (other than the provisions thereof that survive termination) prior to payment for and delivery of the Shares to be sold thereunder (other than pursuant to the Underwriters’ option thereunder to purchase additional Shares), (iii) the date on which the Company notifies the Representatives, in writing and prior to the execution of the Underwriting Agreement, that it does not intend to proceed with the Public Offering and (iv) [July 15], 2026, in the event that the Underwriting Agreement has not been executed by such date (provided, however, that the Company may, by written notice to the undersigned prior to such date, extend such date by a period of up to an additional 90 days).</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II-6</w:t>
      </w:r>
    </w:p>
    <w:p>
      <w:pPr>
        <w:sectPr>
          <w:pgSz w:w="11900" w:h="16838" w:orient="portrait"/>
          <w:cols w:equalWidth="0" w:num="1">
            <w:col w:w="11280"/>
          </w:cols>
          <w:pgMar w:left="300" w:top="1133" w:right="319" w:bottom="1440" w:gutter="0" w:footer="0" w:header="0"/>
        </w:sectPr>
      </w:pPr>
    </w:p>
    <w:bookmarkStart w:id="80" w:name="page81"/>
    <w:bookmarkEnd w:id="80"/>
    <w:p>
      <w:pPr>
        <w:ind w:left="10720"/>
        <w:spacing w:after="0"/>
        <w:rPr>
          <w:sz w:val="20"/>
          <w:szCs w:val="20"/>
          <w:color w:val="auto"/>
        </w:rPr>
      </w:pPr>
      <w:r>
        <w:rPr>
          <w:rFonts w:ascii="Arial" w:cs="Arial" w:eastAsia="Arial" w:hAnsi="Arial"/>
          <w:sz w:val="15"/>
          <w:szCs w:val="15"/>
          <w:b w:val="1"/>
          <w:bCs w:val="1"/>
          <w:color w:val="auto"/>
        </w:rPr>
        <w:t>Annex I</w:t>
      </w:r>
    </w:p>
    <w:p>
      <w:pPr>
        <w:sectPr>
          <w:pgSz w:w="11900" w:h="16838" w:orient="portrait"/>
          <w:cols w:equalWidth="0" w:num="1">
            <w:col w:w="11280"/>
          </w:cols>
          <w:pgMar w:left="30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IF AN INDIVIDUAL:</w:t>
      </w:r>
    </w:p>
    <w:p>
      <w:pPr>
        <w:spacing w:after="0" w:line="377" w:lineRule="exact"/>
        <w:rPr>
          <w:sz w:val="20"/>
          <w:szCs w:val="20"/>
          <w:color w:val="auto"/>
        </w:rPr>
      </w:pPr>
    </w:p>
    <w:p>
      <w:pPr>
        <w:ind w:left="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292671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2">
                      <a:extLst>
                        <a:ext uri="{28A0092B-C50C-407E-A947-70E740481C1C}"/>
                      </a:extLst>
                    </a:blip>
                    <a:srcRect/>
                    <a:stretch>
                      <a:fillRect/>
                    </a:stretch>
                  </pic:blipFill>
                  <pic:spPr bwMode="auto">
                    <a:xfrm>
                      <a:off x="0" y="0"/>
                      <a:ext cx="2926715" cy="6985"/>
                    </a:xfrm>
                    <a:prstGeom prst="rect">
                      <a:avLst/>
                    </a:prstGeom>
                    <a:noFill/>
                  </pic:spPr>
                </pic:pic>
              </a:graphicData>
            </a:graphic>
          </wp:anchor>
        </w:drawing>
      </w:r>
    </w:p>
    <w:p>
      <w:pPr>
        <w:spacing w:after="0" w:line="50" w:lineRule="exact"/>
        <w:rPr>
          <w:sz w:val="20"/>
          <w:szCs w:val="20"/>
          <w:color w:val="auto"/>
        </w:rPr>
      </w:pPr>
    </w:p>
    <w:p>
      <w:pPr>
        <w:ind w:left="1660"/>
        <w:spacing w:after="0"/>
        <w:rPr>
          <w:sz w:val="20"/>
          <w:szCs w:val="20"/>
          <w:color w:val="auto"/>
        </w:rPr>
      </w:pPr>
      <w:r>
        <w:rPr>
          <w:rFonts w:ascii="Arial" w:cs="Arial" w:eastAsia="Arial" w:hAnsi="Arial"/>
          <w:sz w:val="15"/>
          <w:szCs w:val="15"/>
          <w:i w:val="1"/>
          <w:iCs w:val="1"/>
          <w:color w:val="auto"/>
        </w:rPr>
        <w:t>(duly authorized signature)</w:t>
      </w:r>
    </w:p>
    <w:p>
      <w:pPr>
        <w:spacing w:after="0" w:line="396"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141605</wp:posOffset>
            </wp:positionV>
            <wp:extent cx="267271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3">
                      <a:extLst>
                        <a:ext uri="{28A0092B-C50C-407E-A947-70E740481C1C}"/>
                      </a:extLst>
                    </a:blip>
                    <a:srcRect/>
                    <a:stretch>
                      <a:fillRect/>
                    </a:stretch>
                  </pic:blipFill>
                  <pic:spPr bwMode="auto">
                    <a:xfrm>
                      <a:off x="0" y="0"/>
                      <a:ext cx="2672715" cy="6985"/>
                    </a:xfrm>
                    <a:prstGeom prst="rect">
                      <a:avLst/>
                    </a:prstGeom>
                    <a:noFill/>
                  </pic:spPr>
                </pic:pic>
              </a:graphicData>
            </a:graphic>
          </wp:anchor>
        </w:drawing>
      </w:r>
    </w:p>
    <w:p>
      <w:pPr>
        <w:spacing w:after="0" w:line="218" w:lineRule="exact"/>
        <w:rPr>
          <w:sz w:val="20"/>
          <w:szCs w:val="20"/>
          <w:color w:val="auto"/>
        </w:rPr>
      </w:pPr>
    </w:p>
    <w:p>
      <w:pPr>
        <w:jc w:val="center"/>
        <w:ind w:left="620"/>
        <w:spacing w:after="0"/>
        <w:rPr>
          <w:sz w:val="20"/>
          <w:szCs w:val="20"/>
          <w:color w:val="auto"/>
        </w:rPr>
      </w:pPr>
      <w:r>
        <w:rPr>
          <w:rFonts w:ascii="Arial" w:cs="Arial" w:eastAsia="Arial" w:hAnsi="Arial"/>
          <w:sz w:val="15"/>
          <w:szCs w:val="15"/>
          <w:i w:val="1"/>
          <w:iCs w:val="1"/>
          <w:color w:val="auto"/>
        </w:rPr>
        <w:t>(please print full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383540</wp:posOffset>
            </wp:positionV>
            <wp:extent cx="294640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4">
                      <a:extLst>
                        <a:ext uri="{28A0092B-C50C-407E-A947-70E740481C1C}"/>
                      </a:extLst>
                    </a:blip>
                    <a:srcRect/>
                    <a:stretch>
                      <a:fillRect/>
                    </a:stretch>
                  </pic:blipFill>
                  <pic:spPr bwMode="auto">
                    <a:xfrm>
                      <a:off x="0" y="0"/>
                      <a:ext cx="2946400" cy="698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(please print complete name of entity)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141605</wp:posOffset>
            </wp:positionV>
            <wp:extent cx="294640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5">
                      <a:extLst>
                        <a:ext uri="{28A0092B-C50C-407E-A947-70E740481C1C}"/>
                      </a:extLst>
                    </a:blip>
                    <a:srcRect/>
                    <a:stretch>
                      <a:fillRect/>
                    </a:stretch>
                  </pic:blipFill>
                  <pic:spPr bwMode="auto">
                    <a:xfrm>
                      <a:off x="0" y="0"/>
                      <a:ext cx="2946400" cy="6985"/>
                    </a:xfrm>
                    <a:prstGeom prst="rect">
                      <a:avLst/>
                    </a:prstGeom>
                    <a:noFill/>
                  </pic:spPr>
                </pic:pic>
              </a:graphicData>
            </a:graphic>
          </wp:anchor>
        </w:drawing>
      </w:r>
    </w:p>
    <w:p>
      <w:pPr>
        <w:spacing w:after="0" w:line="211" w:lineRule="exact"/>
        <w:rPr>
          <w:sz w:val="20"/>
          <w:szCs w:val="20"/>
          <w:color w:val="auto"/>
        </w:rPr>
      </w:pPr>
    </w:p>
    <w:p>
      <w:pPr>
        <w:ind w:left="1720"/>
        <w:spacing w:after="0"/>
        <w:rPr>
          <w:sz w:val="20"/>
          <w:szCs w:val="20"/>
          <w:color w:val="auto"/>
        </w:rPr>
      </w:pPr>
      <w:r>
        <w:rPr>
          <w:rFonts w:ascii="Arial" w:cs="Arial" w:eastAsia="Arial" w:hAnsi="Arial"/>
          <w:sz w:val="14"/>
          <w:szCs w:val="14"/>
          <w:i w:val="1"/>
          <w:iCs w:val="1"/>
          <w:color w:val="auto"/>
        </w:rPr>
        <w:t>(duly authorized signature)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141605</wp:posOffset>
            </wp:positionV>
            <wp:extent cx="235204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6">
                      <a:extLst>
                        <a:ext uri="{28A0092B-C50C-407E-A947-70E740481C1C}"/>
                      </a:extLst>
                    </a:blip>
                    <a:srcRect/>
                    <a:stretch>
                      <a:fillRect/>
                    </a:stretch>
                  </pic:blipFill>
                  <pic:spPr bwMode="auto">
                    <a:xfrm>
                      <a:off x="0" y="0"/>
                      <a:ext cx="2352040" cy="6985"/>
                    </a:xfrm>
                    <a:prstGeom prst="rect">
                      <a:avLst/>
                    </a:prstGeom>
                    <a:noFill/>
                  </pic:spPr>
                </pic:pic>
              </a:graphicData>
            </a:graphic>
          </wp:anchor>
        </w:drawing>
      </w:r>
    </w:p>
    <w:p>
      <w:pPr>
        <w:spacing w:after="0" w:line="211" w:lineRule="exact"/>
        <w:rPr>
          <w:sz w:val="20"/>
          <w:szCs w:val="20"/>
          <w:color w:val="auto"/>
        </w:rPr>
      </w:pPr>
    </w:p>
    <w:p>
      <w:pPr>
        <w:jc w:val="right"/>
        <w:ind w:right="2180"/>
        <w:spacing w:after="0"/>
        <w:rPr>
          <w:sz w:val="20"/>
          <w:szCs w:val="20"/>
          <w:color w:val="auto"/>
        </w:rPr>
      </w:pPr>
      <w:r>
        <w:rPr>
          <w:rFonts w:ascii="Arial" w:cs="Arial" w:eastAsia="Arial" w:hAnsi="Arial"/>
          <w:sz w:val="14"/>
          <w:szCs w:val="14"/>
          <w:i w:val="1"/>
          <w:iCs w:val="1"/>
          <w:color w:val="auto"/>
        </w:rPr>
        <w:t>(please print full name)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141605</wp:posOffset>
            </wp:positionV>
            <wp:extent cx="294640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7">
                      <a:extLst>
                        <a:ext uri="{28A0092B-C50C-407E-A947-70E740481C1C}"/>
                      </a:extLst>
                    </a:blip>
                    <a:srcRect/>
                    <a:stretch>
                      <a:fillRect/>
                    </a:stretch>
                  </pic:blipFill>
                  <pic:spPr bwMode="auto">
                    <a:xfrm>
                      <a:off x="0" y="0"/>
                      <a:ext cx="294640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660"/>
          </w:cols>
          <w:pgMar w:left="300" w:top="121" w:right="319" w:bottom="1440" w:gutter="0" w:footer="0" w:header="0"/>
          <w:type w:val="continuous"/>
        </w:sectPr>
      </w:pPr>
    </w:p>
    <w:p>
      <w:pPr>
        <w:spacing w:after="0" w:line="31" w:lineRule="exact"/>
        <w:rPr>
          <w:sz w:val="20"/>
          <w:szCs w:val="20"/>
          <w:color w:val="auto"/>
        </w:rPr>
      </w:pPr>
    </w:p>
    <w:p>
      <w:pPr>
        <w:jc w:val="right"/>
        <w:ind w:right="2360"/>
        <w:spacing w:after="0"/>
        <w:rPr>
          <w:sz w:val="20"/>
          <w:szCs w:val="20"/>
          <w:color w:val="auto"/>
        </w:rPr>
      </w:pPr>
      <w:r>
        <w:rPr>
          <w:rFonts w:ascii="Arial" w:cs="Arial" w:eastAsia="Arial" w:hAnsi="Arial"/>
          <w:sz w:val="14"/>
          <w:szCs w:val="14"/>
          <w:i w:val="1"/>
          <w:iCs w:val="1"/>
          <w:color w:val="auto"/>
        </w:rPr>
        <w:t>(please print full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II-1</w:t>
      </w:r>
    </w:p>
    <w:p>
      <w:pPr>
        <w:sectPr>
          <w:pgSz w:w="11900" w:h="16838" w:orient="portrait"/>
          <w:cols w:equalWidth="0" w:num="1">
            <w:col w:w="11280"/>
          </w:cols>
          <w:pgMar w:left="300" w:top="121" w:right="319" w:bottom="1440" w:gutter="0" w:footer="0" w:header="0"/>
          <w:type w:val="continuous"/>
        </w:sectPr>
      </w:pPr>
    </w:p>
    <w:bookmarkStart w:id="81" w:name="page82"/>
    <w:bookmarkEnd w:id="81"/>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320"/>
        <w:spacing w:after="0"/>
        <w:rPr>
          <w:sz w:val="20"/>
          <w:szCs w:val="20"/>
          <w:color w:val="auto"/>
        </w:rPr>
      </w:pPr>
      <w:r>
        <w:rPr>
          <w:rFonts w:ascii="Arial" w:cs="Arial" w:eastAsia="Arial" w:hAnsi="Arial"/>
          <w:sz w:val="11"/>
          <w:szCs w:val="11"/>
          <w:color w:val="848A8E"/>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3810</wp:posOffset>
            </wp:positionV>
            <wp:extent cx="1409700" cy="374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8">
                      <a:extLst>
                        <a:ext uri="{28A0092B-C50C-407E-A947-70E740481C1C}"/>
                      </a:extLst>
                    </a:blip>
                    <a:srcRect/>
                    <a:stretch>
                      <a:fillRect/>
                    </a:stretch>
                  </pic:blipFill>
                  <pic:spPr bwMode="auto">
                    <a:xfrm>
                      <a:off x="0" y="0"/>
                      <a:ext cx="1409700" cy="37401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1"/>
          <w:szCs w:val="11"/>
          <w:color w:val="848A8E"/>
        </w:rPr>
        <w:t>601 Marshall St.</w:t>
      </w:r>
    </w:p>
    <w:p>
      <w:pPr>
        <w:spacing w:after="0" w:line="10" w:lineRule="exact"/>
        <w:rPr>
          <w:sz w:val="20"/>
          <w:szCs w:val="20"/>
          <w:color w:val="auto"/>
        </w:rPr>
      </w:pPr>
    </w:p>
    <w:p>
      <w:pPr>
        <w:ind w:left="7320"/>
        <w:spacing w:after="0"/>
        <w:rPr>
          <w:sz w:val="20"/>
          <w:szCs w:val="20"/>
          <w:color w:val="auto"/>
        </w:rPr>
      </w:pPr>
      <w:r>
        <w:rPr>
          <w:rFonts w:ascii="Arial" w:cs="Arial" w:eastAsia="Arial" w:hAnsi="Arial"/>
          <w:sz w:val="11"/>
          <w:szCs w:val="11"/>
          <w:color w:val="848A8E"/>
        </w:rPr>
        <w:t>Redwood City, CA 94063</w:t>
      </w:r>
    </w:p>
    <w:p>
      <w:pPr>
        <w:spacing w:after="0" w:line="179" w:lineRule="exact"/>
        <w:rPr>
          <w:sz w:val="20"/>
          <w:szCs w:val="20"/>
          <w:color w:val="auto"/>
        </w:rPr>
      </w:pPr>
    </w:p>
    <w:p>
      <w:pPr>
        <w:ind w:left="7320"/>
        <w:spacing w:after="0"/>
        <w:rPr>
          <w:sz w:val="20"/>
          <w:szCs w:val="20"/>
          <w:color w:val="auto"/>
        </w:rPr>
      </w:pPr>
      <w:r>
        <w:rPr>
          <w:rFonts w:ascii="Arial" w:cs="Arial" w:eastAsia="Arial" w:hAnsi="Arial"/>
          <w:sz w:val="11"/>
          <w:szCs w:val="11"/>
          <w:color w:val="848A8E"/>
        </w:rPr>
        <w:t>goodwinlaw.com</w:t>
      </w:r>
    </w:p>
    <w:p>
      <w:pPr>
        <w:spacing w:after="0" w:line="20" w:lineRule="exact"/>
        <w:rPr>
          <w:sz w:val="20"/>
          <w:szCs w:val="20"/>
          <w:color w:val="auto"/>
        </w:rPr>
      </w:pPr>
    </w:p>
    <w:p>
      <w:pPr>
        <w:ind w:left="7320"/>
        <w:spacing w:after="0"/>
        <w:rPr>
          <w:sz w:val="20"/>
          <w:szCs w:val="20"/>
          <w:color w:val="auto"/>
        </w:rPr>
      </w:pPr>
      <w:r>
        <w:rPr>
          <w:rFonts w:ascii="Arial" w:cs="Arial" w:eastAsia="Arial" w:hAnsi="Arial"/>
          <w:sz w:val="11"/>
          <w:szCs w:val="11"/>
          <w:color w:val="848A8E"/>
        </w:rPr>
        <w:t>+1 650 752 3100</w:t>
      </w:r>
    </w:p>
    <w:p>
      <w:pPr>
        <w:spacing w:after="0" w:line="28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6"/>
          <w:szCs w:val="16"/>
          <w:color w:val="auto"/>
        </w:rPr>
        <w:t>June 15, 2026</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Pattern Group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1441 West Innovation Way, Suite 500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Lehi, UT 84043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 </w:t>
      </w:r>
      <w:r>
        <w:rPr>
          <w:rFonts w:ascii="Times New Roman" w:cs="Times New Roman" w:eastAsia="Times New Roman" w:hAnsi="Times New Roman"/>
          <w:sz w:val="17"/>
          <w:szCs w:val="17"/>
          <w:u w:val="single" w:color="auto"/>
          <w:color w:val="auto"/>
        </w:rPr>
        <w:t>Securities Registered under Registration Statement on Form S-1</w:t>
      </w:r>
    </w:p>
    <w:p>
      <w:pPr>
        <w:spacing w:after="0" w:line="17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7"/>
          <w:szCs w:val="17"/>
          <w:color w:val="auto"/>
        </w:rPr>
        <w:t>We have acted as counsel to you in connection with your filing of a Registration Statement on Form S-1 initially publicly filed with the Securities and Exchange Commission on June 15, 2026 (as amended or supplemented, the “Registration Statement”) pursuant to the Securities Act of 1933, as amended (the “Securities Act”), relating to the registration of the offer by a stockholder of by Pattern Group Inc., a Delaware corporation (the “Company”), of up to 9,200,000 shares (the “Shares”) of the Company’s Series A Common Stock, $0.001 par value per share (“Series A Common Stock”) to be sold by the selling stockholder listed in the Registration Statement under “Selling Stockholder” (the “Selling Stockholder”), including Shares purchasable by the underwriters upon their exercise in full of an option to purchase additional shares granted to the underwriters by the Selling Stockholder. The Shares are being sold to the several underwriters named in, and pursuant to, an underwriting agreement among the Company, the Selling Stockholder, and such underwriters (the “Underwriting Agreement”).</w:t>
      </w:r>
    </w:p>
    <w:p>
      <w:pPr>
        <w:spacing w:after="0" w:line="142"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6"/>
          <w:szCs w:val="16"/>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opinion set forth below is limited to the Delaware General Corporation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on the foregoing, we are of the opinion that the Shares have been duly authorized and validly issued and are fully paid and non-assessable.</w:t>
      </w:r>
    </w:p>
    <w:p>
      <w:pPr>
        <w:spacing w:after="0" w:line="169"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7"/>
          <w:szCs w:val="17"/>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7"/>
          <w:szCs w:val="17"/>
          <w:i w:val="1"/>
          <w:iCs w:val="1"/>
          <w:color w:val="auto"/>
        </w:rPr>
        <w:t>Business Lawyer</w:t>
      </w:r>
      <w:r>
        <w:rPr>
          <w:rFonts w:ascii="Times New Roman" w:cs="Times New Roman" w:eastAsia="Times New Roman" w:hAnsi="Times New Roman"/>
          <w:sz w:val="17"/>
          <w:szCs w:val="17"/>
          <w:color w:val="auto"/>
        </w:rPr>
        <w:t xml:space="preserve"> 815 (Summer 2019).</w:t>
      </w:r>
    </w:p>
    <w:p>
      <w:pPr>
        <w:spacing w:after="0" w:line="11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7"/>
          <w:szCs w:val="17"/>
          <w:color w:val="auto"/>
        </w:rPr>
        <w:t>We hereby consent to the inclusion of this opinion as Exhibit 5.1 to the Registration Statement and to the references to our firm under the caption “Legal Matters” in the Registration Statement.</w:t>
      </w:r>
    </w:p>
    <w:p>
      <w:pPr>
        <w:spacing w:after="0" w:line="113" w:lineRule="exact"/>
        <w:rPr>
          <w:sz w:val="20"/>
          <w:szCs w:val="20"/>
          <w:color w:val="auto"/>
        </w:rPr>
      </w:pPr>
    </w:p>
    <w:p>
      <w:pPr>
        <w:ind w:right="720"/>
        <w:spacing w:after="0" w:line="273" w:lineRule="auto"/>
        <w:rPr>
          <w:sz w:val="20"/>
          <w:szCs w:val="20"/>
          <w:color w:val="auto"/>
        </w:rPr>
      </w:pPr>
      <w:r>
        <w:rPr>
          <w:rFonts w:ascii="Times New Roman" w:cs="Times New Roman" w:eastAsia="Times New Roman" w:hAnsi="Times New Roman"/>
          <w:sz w:val="17"/>
          <w:szCs w:val="17"/>
          <w:color w:val="auto"/>
        </w:rPr>
        <w:t>In giving our consent, we do not admit that we are in the category of persons whose consent is required under Section 7 of the Securities Act or the rules and regulations thereunder.</w:t>
      </w:r>
    </w:p>
    <w:p>
      <w:pPr>
        <w:sectPr>
          <w:pgSz w:w="11900" w:h="16838" w:orient="portrait"/>
          <w:cols w:equalWidth="0" w:num="1">
            <w:col w:w="11280"/>
          </w:cols>
          <w:pgMar w:left="300" w:top="123"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15875</wp:posOffset>
            </wp:positionV>
            <wp:extent cx="716280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GOODWIN PROCTER LLP</w:t>
      </w:r>
    </w:p>
    <w:p>
      <w:pPr>
        <w:sectPr>
          <w:pgSz w:w="11900" w:h="16838" w:orient="portrait"/>
          <w:cols w:equalWidth="0" w:num="1">
            <w:col w:w="10139"/>
          </w:cols>
          <w:pgMar w:left="320" w:top="1160" w:right="1440"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17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S-1 of our report dated March 5, 2026 relating to the financial statements of Pattern Group Inc., appearing in the Annual Report on Form 10-K of Pattern Group Inc. for the year ended December 31, 2025. We also consent to the reference to us under the heading "Experts" in such Registration Statement.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Salt Lake City, Utah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15, 2026</w:t>
      </w:r>
    </w:p>
    <w:sectPr>
      <w:pgSz w:w="11900" w:h="16838" w:orient="portrait"/>
      <w:cols w:equalWidth="0" w:num="1">
        <w:col w:w="11280"/>
      </w:cols>
      <w:pgMar w:left="300" w:top="13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decimal"/>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1)"/>
      <w:numFmt w:val="upperLetter"/>
      <w:start w:val="1"/>
    </w:lvl>
  </w:abstractNum>
  <w:abstractNum w:abstractNumId="21">
    <w:nsid w:val="579478FE"/>
    <w:multiLevelType w:val="hybridMultilevel"/>
    <w:lvl w:ilvl="0">
      <w:lvlJc w:val="left"/>
      <w:lvlText w:val="%1."/>
      <w:numFmt w:val="decimal"/>
      <w:start w:val="1"/>
    </w:lvl>
    <w:lvl w:ilvl="1">
      <w:lvlJc w:val="left"/>
      <w:lvlText w:val="(%2)"/>
      <w:numFmt w:val="lowerRoman"/>
      <w:start w:val="1"/>
    </w:lvl>
  </w:abstractNum>
  <w:abstractNum w:abstractNumId="22">
    <w:nsid w:val="749ABB43"/>
    <w:multiLevelType w:val="hybridMultilevel"/>
    <w:lvl w:ilvl="0">
      <w:lvlJc w:val="left"/>
      <w:lvlText w:val="(%1)"/>
      <w:numFmt w:val="lowerRoman"/>
      <w:start w:val="2"/>
    </w:lvl>
  </w:abstractNum>
  <w:abstractNum w:abstractNumId="23">
    <w:nsid w:val="3DC240FB"/>
    <w:multiLevelType w:val="hybridMultilevel"/>
    <w:lvl w:ilvl="0">
      <w:lvlJc w:val="left"/>
      <w:lvlText w:val="(%1)"/>
      <w:numFmt w:val="lowerRoman"/>
      <w:start w:val="4"/>
    </w:lvl>
  </w:abstractNum>
  <w:abstractNum w:abstractNumId="24">
    <w:nsid w:val="1BA026FA"/>
    <w:multiLevelType w:val="hybridMultilevel"/>
    <w:lvl w:ilvl="0">
      <w:lvlJc w:val="left"/>
      <w:lvlText w:val="(%1)"/>
      <w:numFmt w:val="lowerRoman"/>
      <w:start w:val="7"/>
    </w:lvl>
  </w:abstractNum>
  <w:abstractNum w:abstractNumId="25">
    <w:nsid w:val="79A1DEAA"/>
    <w:multiLevelType w:val="hybridMultilevel"/>
    <w:lvl w:ilvl="0">
      <w:lvlJc w:val="left"/>
      <w:lvlText w:val="(%1)"/>
      <w:numFmt w:val="lowerRoman"/>
      <w:start w:val="9"/>
    </w:lvl>
  </w:abstractNum>
  <w:abstractNum w:abstractNumId="26">
    <w:nsid w:val="75C6C33A"/>
    <w:multiLevelType w:val="hybridMultilevel"/>
    <w:lvl w:ilvl="0">
      <w:lvlJc w:val="left"/>
      <w:lvlText w:val="(%1)"/>
      <w:numFmt w:val="lowerRoman"/>
      <w:start w:val="13"/>
    </w:lvl>
  </w:abstractNum>
  <w:abstractNum w:abstractNumId="27">
    <w:nsid w:val="12E685FB"/>
    <w:multiLevelType w:val="hybridMultilevel"/>
    <w:lvl w:ilvl="0">
      <w:lvlJc w:val="left"/>
      <w:lvlText w:val="(%1)"/>
      <w:numFmt w:val="lowerRoman"/>
      <w:start w:val="18"/>
    </w:lvl>
  </w:abstractNum>
  <w:abstractNum w:abstractNumId="28">
    <w:nsid w:val="70C6A529"/>
    <w:multiLevelType w:val="hybridMultilevel"/>
    <w:lvl w:ilvl="0">
      <w:lvlJc w:val="left"/>
      <w:lvlText w:val="(%1)"/>
      <w:numFmt w:val="lowerRoman"/>
      <w:start w:val="1"/>
    </w:lvl>
  </w:abstractNum>
  <w:abstractNum w:abstractNumId="29">
    <w:nsid w:val="520EEDD1"/>
    <w:multiLevelType w:val="hybridMultilevel"/>
    <w:lvl w:ilvl="0">
      <w:lvlJc w:val="left"/>
      <w:lvlText w:val="(%1)"/>
      <w:numFmt w:val="lowerRoman"/>
      <w:start w:val="23"/>
    </w:lvl>
  </w:abstractNum>
  <w:abstractNum w:abstractNumId="30">
    <w:nsid w:val="374A3FE6"/>
    <w:multiLevelType w:val="hybridMultilevel"/>
    <w:lvl w:ilvl="0">
      <w:lvlJc w:val="left"/>
      <w:lvlText w:val="(%1)"/>
      <w:numFmt w:val="lowerRoman"/>
      <w:start w:val="25"/>
    </w:lvl>
  </w:abstractNum>
  <w:abstractNum w:abstractNumId="31">
    <w:nsid w:val="4F4EF005"/>
    <w:multiLevelType w:val="hybridMultilevel"/>
    <w:lvl w:ilvl="0">
      <w:lvlJc w:val="left"/>
      <w:lvlText w:val="(%1)"/>
      <w:numFmt w:val="lowerRoman"/>
      <w:start w:val="30"/>
    </w:lvl>
  </w:abstractNum>
  <w:abstractNum w:abstractNumId="32">
    <w:nsid w:val="23F9C13C"/>
    <w:multiLevelType w:val="hybridMultilevel"/>
    <w:lvl w:ilvl="0">
      <w:lvlJc w:val="left"/>
      <w:lvlText w:val="(%1)"/>
      <w:numFmt w:val="decimal"/>
      <w:start w:val="1"/>
    </w:lvl>
    <w:lvl w:ilvl="1">
      <w:lvlJc w:val="left"/>
      <w:lvlText w:val="(%2)"/>
      <w:numFmt w:val="lowerRoman"/>
      <w:start w:val="31"/>
    </w:lvl>
  </w:abstractNum>
  <w:abstractNum w:abstractNumId="33">
    <w:nsid w:val="649BB77C"/>
    <w:multiLevelType w:val="hybridMultilevel"/>
    <w:lvl w:ilvl="0">
      <w:lvlJc w:val="left"/>
      <w:lvlText w:val="(%1)"/>
      <w:numFmt w:val="lowerRoman"/>
      <w:start w:val="34"/>
    </w:lvl>
  </w:abstractNum>
  <w:abstractNum w:abstractNumId="34">
    <w:nsid w:val="275AC794"/>
    <w:multiLevelType w:val="hybridMultilevel"/>
    <w:lvl w:ilvl="0">
      <w:lvlJc w:val="left"/>
      <w:lvlText w:val="(%1)"/>
      <w:numFmt w:val="lowerRoman"/>
      <w:start w:val="39"/>
    </w:lvl>
  </w:abstractNum>
  <w:abstractNum w:abstractNumId="35">
    <w:nsid w:val="39386575"/>
    <w:multiLevelType w:val="hybridMultilevel"/>
    <w:lvl w:ilvl="0">
      <w:lvlJc w:val="left"/>
      <w:lvlText w:val="(%1)"/>
      <w:numFmt w:val="lowerLetter"/>
      <w:start w:val="2"/>
    </w:lvl>
    <w:lvl w:ilvl="1">
      <w:lvlJc w:val="left"/>
      <w:lvlText w:val="(%2)"/>
      <w:numFmt w:val="lowerRoman"/>
      <w:start w:val="1"/>
    </w:lvl>
  </w:abstractNum>
  <w:abstractNum w:abstractNumId="36">
    <w:nsid w:val="1CF10FD8"/>
    <w:multiLevelType w:val="hybridMultilevel"/>
    <w:lvl w:ilvl="0">
      <w:lvlJc w:val="left"/>
      <w:lvlText w:val="%1"/>
      <w:numFmt w:val="decimal"/>
      <w:start w:val="1"/>
    </w:lvl>
    <w:lvl w:ilvl="1">
      <w:lvlJc w:val="left"/>
      <w:lvlText w:val="(%2)"/>
      <w:numFmt w:val="lowerRoman"/>
      <w:start w:val="5"/>
    </w:lvl>
  </w:abstractNum>
  <w:abstractNum w:abstractNumId="37">
    <w:nsid w:val="180115BE"/>
    <w:multiLevelType w:val="hybridMultilevel"/>
    <w:lvl w:ilvl="0">
      <w:lvlJc w:val="left"/>
      <w:lvlText w:val="%1."/>
      <w:numFmt w:val="decimal"/>
      <w:start w:val="2"/>
    </w:lvl>
    <w:lvl w:ilvl="1">
      <w:lvlJc w:val="left"/>
      <w:lvlText w:val="%2"/>
      <w:numFmt w:val="lowerRoman"/>
      <w:start w:val="1"/>
    </w:lvl>
  </w:abstractNum>
  <w:abstractNum w:abstractNumId="38">
    <w:nsid w:val="235BA861"/>
    <w:multiLevelType w:val="hybridMultilevel"/>
    <w:lvl w:ilvl="0">
      <w:lvlJc w:val="left"/>
      <w:lvlText w:val="["/>
      <w:numFmt w:val="bullet"/>
      <w:start w:val="1"/>
    </w:lvl>
    <w:lvl w:ilvl="1">
      <w:lvlJc w:val="left"/>
      <w:lvlText w:val="%2."/>
      <w:numFmt w:val="decimal"/>
      <w:start w:val="3"/>
    </w:lvl>
  </w:abstractNum>
  <w:abstractNum w:abstractNumId="39">
    <w:nsid w:val="47398C89"/>
    <w:multiLevelType w:val="hybridMultilevel"/>
    <w:lvl w:ilvl="0">
      <w:lvlJc w:val="left"/>
      <w:lvlText w:val="%1"/>
      <w:numFmt w:val="decimal"/>
      <w:start w:val="1"/>
    </w:lvl>
    <w:lvl w:ilvl="1">
      <w:lvlJc w:val="left"/>
      <w:lvlText w:val="(%2)"/>
      <w:numFmt w:val="lowerLetter"/>
      <w:start w:val="2"/>
    </w:lvl>
  </w:abstractNum>
  <w:abstractNum w:abstractNumId="40">
    <w:nsid w:val="354FE9F9"/>
    <w:multiLevelType w:val="hybridMultilevel"/>
    <w:lvl w:ilvl="0">
      <w:lvlJc w:val="left"/>
      <w:lvlText w:val="%1."/>
      <w:numFmt w:val="decimal"/>
      <w:start w:val="5"/>
    </w:lvl>
    <w:lvl w:ilvl="1">
      <w:lvlJc w:val="left"/>
      <w:lvlText w:val="%2"/>
      <w:numFmt w:val="lowerLetter"/>
      <w:start w:val="1"/>
    </w:lvl>
  </w:abstractNum>
  <w:abstractNum w:abstractNumId="41">
    <w:nsid w:val="15B5AF5C"/>
    <w:multiLevelType w:val="hybridMultilevel"/>
    <w:lvl w:ilvl="0">
      <w:lvlJc w:val="left"/>
      <w:lvlText w:val="(%1)"/>
      <w:numFmt w:val="lowerLetter"/>
      <w:start w:val="1"/>
    </w:lvl>
  </w:abstractNum>
  <w:abstractNum w:abstractNumId="42">
    <w:nsid w:val="741226BB"/>
    <w:multiLevelType w:val="hybridMultilevel"/>
    <w:lvl w:ilvl="0">
      <w:lvlJc w:val="left"/>
      <w:lvlText w:val="(%1)"/>
      <w:numFmt w:val="lowerLetter"/>
      <w:start w:val="4"/>
    </w:lvl>
  </w:abstractNum>
  <w:abstractNum w:abstractNumId="43">
    <w:nsid w:val="D34B6A8"/>
    <w:multiLevelType w:val="hybridMultilevel"/>
    <w:lvl w:ilvl="0">
      <w:lvlJc w:val="left"/>
      <w:lvlText w:val="(%1)"/>
      <w:numFmt w:val="lowerLetter"/>
      <w:start w:val="6"/>
    </w:lvl>
  </w:abstractNum>
  <w:abstractNum w:abstractNumId="44">
    <w:nsid w:val="10233C99"/>
    <w:multiLevelType w:val="hybridMultilevel"/>
    <w:lvl w:ilvl="0">
      <w:lvlJc w:val="left"/>
      <w:lvlText w:val="(%1)"/>
      <w:numFmt w:val="lowerLetter"/>
      <w:start w:val="8"/>
    </w:lvl>
  </w:abstractNum>
  <w:abstractNum w:abstractNumId="45">
    <w:nsid w:val="3F6AB60F"/>
    <w:multiLevelType w:val="hybridMultilevel"/>
    <w:lvl w:ilvl="0">
      <w:lvlJc w:val="left"/>
      <w:lvlText w:val="%1"/>
      <w:numFmt w:val="lowerLetter"/>
      <w:start w:val="1"/>
    </w:lvl>
    <w:lvl w:ilvl="1">
      <w:lvlJc w:val="left"/>
      <w:lvlText w:val="%2."/>
      <w:numFmt w:val="decimal"/>
      <w:start w:val="6"/>
    </w:lvl>
  </w:abstractNum>
  <w:abstractNum w:abstractNumId="46">
    <w:nsid w:val="61574095"/>
    <w:multiLevelType w:val="hybridMultilevel"/>
    <w:lvl w:ilvl="0">
      <w:lvlJc w:val="left"/>
      <w:lvlText w:val="(%1)"/>
      <w:numFmt w:val="lowerLetter"/>
      <w:start w:val="2"/>
    </w:lvl>
    <w:lvl w:ilvl="1">
      <w:lvlJc w:val="left"/>
      <w:lvlText w:val="%2"/>
      <w:numFmt w:val="decimal"/>
      <w:start w:val="1"/>
    </w:lvl>
  </w:abstractNum>
  <w:abstractNum w:abstractNumId="47">
    <w:nsid w:val="7E0C57B1"/>
    <w:multiLevelType w:val="hybridMultilevel"/>
    <w:lvl w:ilvl="0">
      <w:lvlJc w:val="left"/>
      <w:lvlText w:val="(%1)"/>
      <w:numFmt w:val="lowerLetter"/>
      <w:start w:val="4"/>
    </w:lvl>
  </w:abstractNum>
  <w:abstractNum w:abstractNumId="48">
    <w:nsid w:val="77AE35EB"/>
    <w:multiLevelType w:val="hybridMultilevel"/>
    <w:lvl w:ilvl="0">
      <w:lvlJc w:val="left"/>
      <w:lvlText w:val="%1"/>
      <w:numFmt w:val="lowerRoman"/>
      <w:start w:val="1"/>
    </w:lvl>
    <w:lvl w:ilvl="1">
      <w:lvlJc w:val="left"/>
      <w:lvlText w:val="%2."/>
      <w:numFmt w:val="decimal"/>
      <w:start w:val="7"/>
    </w:lvl>
  </w:abstractNum>
  <w:abstractNum w:abstractNumId="49">
    <w:nsid w:val="579BE4F1"/>
    <w:multiLevelType w:val="hybridMultilevel"/>
    <w:lvl w:ilvl="0">
      <w:lvlJc w:val="left"/>
      <w:lvlText w:val="(%1)"/>
      <w:numFmt w:val="lowerRoman"/>
      <w:start w:val="8"/>
    </w:lvl>
    <w:lvl w:ilvl="1">
      <w:lvlJc w:val="left"/>
      <w:lvlText w:val="%2"/>
      <w:numFmt w:val="decimal"/>
      <w:start w:val="1"/>
    </w:lvl>
  </w:abstractNum>
  <w:abstractNum w:abstractNumId="50">
    <w:nsid w:val="310C50B3"/>
    <w:multiLevelType w:val="hybridMultilevel"/>
    <w:lvl w:ilvl="0">
      <w:lvlJc w:val="left"/>
      <w:lvlText w:val="%1."/>
      <w:numFmt w:val="decimal"/>
      <w:start w:val="8"/>
    </w:lvl>
  </w:abstractNum>
  <w:abstractNum w:abstractNumId="51">
    <w:nsid w:val="5FF87E05"/>
    <w:multiLevelType w:val="hybridMultilevel"/>
    <w:lvl w:ilvl="0">
      <w:lvlJc w:val="left"/>
      <w:lvlText w:val="(%1)"/>
      <w:numFmt w:val="lowerLetter"/>
      <w:start w:val="1"/>
    </w:lvl>
  </w:abstractNum>
  <w:abstractNum w:abstractNumId="52">
    <w:nsid w:val="2F305DEF"/>
    <w:multiLevelType w:val="hybridMultilevel"/>
    <w:lvl w:ilvl="0">
      <w:lvlJc w:val="left"/>
      <w:lvlText w:val="(%1)"/>
      <w:numFmt w:val="lowerLetter"/>
      <w:start w:val="5"/>
    </w:lvl>
  </w:abstractNum>
  <w:abstractNum w:abstractNumId="53">
    <w:nsid w:val="25A70BF7"/>
    <w:multiLevelType w:val="hybridMultilevel"/>
    <w:lvl w:ilvl="0">
      <w:lvlJc w:val="left"/>
      <w:lvlText w:val="(%1)"/>
      <w:numFmt w:val="lowerLetter"/>
      <w:start w:val="9"/>
    </w:lvl>
  </w:abstractNum>
  <w:abstractNum w:abstractNumId="54">
    <w:nsid w:val="1DBABF00"/>
    <w:multiLevelType w:val="hybridMultilevel"/>
    <w:lvl w:ilvl="0">
      <w:lvlJc w:val="left"/>
      <w:lvlText w:val="%1."/>
      <w:numFmt w:val="decimal"/>
      <w:start w:val="9"/>
    </w:lvl>
  </w:abstractNum>
  <w:abstractNum w:abstractNumId="55">
    <w:nsid w:val="4AD084E9"/>
    <w:multiLevelType w:val="hybridMultilevel"/>
    <w:lvl w:ilvl="0">
      <w:lvlJc w:val="left"/>
      <w:lvlText w:val="(%1)"/>
      <w:numFmt w:val="lowerLetter"/>
      <w:start w:val="2"/>
    </w:lvl>
  </w:abstractNum>
  <w:abstractNum w:abstractNumId="56">
    <w:nsid w:val="1F48EAA1"/>
    <w:multiLevelType w:val="hybridMultilevel"/>
    <w:lvl w:ilvl="0">
      <w:lvlJc w:val="left"/>
      <w:lvlText w:val="(%1)"/>
      <w:numFmt w:val="lowerLetter"/>
      <w:start w:val="4"/>
    </w:lvl>
  </w:abstractNum>
  <w:abstractNum w:abstractNumId="57">
    <w:nsid w:val="1381823A"/>
    <w:multiLevelType w:val="hybridMultilevel"/>
    <w:lvl w:ilvl="0">
      <w:lvlJc w:val="left"/>
      <w:lvlText w:val="(%1)"/>
      <w:numFmt w:val="lowerLetter"/>
      <w:start w:val="6"/>
    </w:lvl>
  </w:abstractNum>
  <w:abstractNum w:abstractNumId="58">
    <w:nsid w:val="5DB70AE5"/>
    <w:multiLevelType w:val="hybridMultilevel"/>
    <w:lvl w:ilvl="0">
      <w:lvlJc w:val="left"/>
      <w:lvlText w:val="%1."/>
      <w:numFmt w:val="decimal"/>
      <w:start w:val="10"/>
    </w:lvl>
  </w:abstractNum>
  <w:abstractNum w:abstractNumId="59">
    <w:nsid w:val="100F8FCA"/>
    <w:multiLevelType w:val="hybridMultilevel"/>
    <w:lvl w:ilvl="0">
      <w:lvlJc w:val="left"/>
      <w:lvlText w:val="(%1)"/>
      <w:numFmt w:val="lowerLetter"/>
      <w:start w:val="2"/>
    </w:lvl>
  </w:abstractNum>
  <w:abstractNum w:abstractNumId="60">
    <w:nsid w:val="6590700B"/>
    <w:multiLevelType w:val="hybridMultilevel"/>
    <w:lvl w:ilvl="0">
      <w:lvlJc w:val="left"/>
      <w:lvlText w:val="%1."/>
      <w:numFmt w:val="decimal"/>
      <w:start w:val="11"/>
    </w:lvl>
  </w:abstractNum>
  <w:abstractNum w:abstractNumId="61">
    <w:nsid w:val="15014ACB"/>
    <w:multiLevelType w:val="hybridMultilevel"/>
    <w:lvl w:ilvl="0">
      <w:lvlJc w:val="left"/>
      <w:lvlText w:val="%1"/>
      <w:numFmt w:val="lowerRoman"/>
      <w:start w:val="1"/>
    </w:lvl>
    <w:lvl w:ilvl="1">
      <w:lvlJc w:val="left"/>
      <w:lvlText w:val="%2."/>
      <w:numFmt w:val="decimal"/>
      <w:start w:val="12"/>
    </w:lvl>
  </w:abstractNum>
  <w:abstractNum w:abstractNumId="62">
    <w:nsid w:val="5F5E7FD0"/>
    <w:multiLevelType w:val="hybridMultilevel"/>
    <w:lvl w:ilvl="0">
      <w:lvlJc w:val="left"/>
      <w:lvlText w:val="(%1)"/>
      <w:numFmt w:val="lowerRoman"/>
      <w:start w:val="4"/>
    </w:lvl>
    <w:lvl w:ilvl="1">
      <w:lvlJc w:val="left"/>
      <w:lvlText w:val="%2."/>
      <w:numFmt w:val="decimal"/>
      <w:start w:val="13"/>
    </w:lvl>
  </w:abstractNum>
  <w:abstractNum w:abstractNumId="63">
    <w:nsid w:val="98A3148"/>
    <w:multiLevelType w:val="hybridMultilevel"/>
    <w:lvl w:ilvl="0">
      <w:lvlJc w:val="left"/>
      <w:lvlText w:val="%1."/>
      <w:numFmt w:val="decimal"/>
      <w:start w:val="14"/>
    </w:lvl>
  </w:abstractNum>
  <w:abstractNum w:abstractNumId="64">
    <w:nsid w:val="799D0247"/>
    <w:multiLevelType w:val="hybridMultilevel"/>
    <w:lvl w:ilvl="0">
      <w:lvlJc w:val="left"/>
      <w:lvlText w:val="%1."/>
      <w:numFmt w:val="decimal"/>
      <w:start w:val="19"/>
    </w:lvl>
  </w:abstractNum>
  <w:abstractNum w:abstractNumId="65">
    <w:nsid w:val="6B94764"/>
    <w:multiLevelType w:val="hybridMultilevel"/>
    <w:lvl w:ilvl="0">
      <w:lvlJc w:val="left"/>
      <w:lvlText w:val="(%1)"/>
      <w:numFmt w:val="lowerRoman"/>
      <w:start w:val="1"/>
    </w:lvl>
  </w:abstractNum>
  <w:abstractNum w:abstractNumId="66">
    <w:nsid w:val="42C296BD"/>
    <w:multiLevelType w:val="hybridMultilevel"/>
    <w:lvl w:ilvl="0">
      <w:lvlJc w:val="left"/>
      <w:lvlText w:val="(%1)"/>
      <w:numFmt w:val="lowerRoman"/>
      <w:start w:val="1"/>
    </w:lvl>
  </w:abstractNum>
  <w:abstractNum w:abstractNumId="67">
    <w:nsid w:val="168E121F"/>
    <w:multiLevelType w:val="hybridMultilevel"/>
    <w:lvl w:ilvl="0">
      <w:lvlJc w:val="left"/>
      <w:lvlText w:val="(%1)"/>
      <w:numFmt w:val="lowerRoman"/>
      <w:start w:val="2"/>
    </w:lvl>
  </w:abstractNum>
  <w:abstractNum w:abstractNumId="68">
    <w:nsid w:val="1EBA5D23"/>
    <w:multiLevelType w:val="hybridMultilevel"/>
    <w:lvl w:ilvl="0">
      <w:lvlJc w:val="left"/>
      <w:lvlText w:val="(%1)"/>
      <w:numFmt w:val="lowerLetter"/>
      <w:start w:val="1"/>
    </w:lvl>
  </w:abstractNum>
  <w:abstractNum w:abstractNumId="69">
    <w:nsid w:val="661E3F1E"/>
    <w:multiLevelType w:val="hybridMultilevel"/>
    <w:lvl w:ilvl="0">
      <w:lvlJc w:val="left"/>
      <w:lvlText w:val="(%1)"/>
      <w:numFmt w:val="lowerLetter"/>
      <w:start w:val="1"/>
    </w:lvl>
  </w:abstractNum>
  <w:abstractNum w:abstractNumId="70">
    <w:nsid w:val="5DC79EA8"/>
    <w:multiLevelType w:val="hybridMultilevel"/>
    <w:lvl w:ilvl="0">
      <w:lvlJc w:val="left"/>
      <w:lvlText w:val="(%1)"/>
      <w:numFmt w:val="lowerLetter"/>
      <w:start w:val="3"/>
    </w:lvl>
  </w:abstractNum>
  <w:abstractNum w:abstractNumId="71">
    <w:nsid w:val="540A471C"/>
    <w:multiLevelType w:val="hybridMultilevel"/>
    <w:lvl w:ilvl="0">
      <w:lvlJc w:val="left"/>
      <w:lvlText w:val="(%1)"/>
      <w:numFmt w:val="lowerLetter"/>
      <w:start w:val="1"/>
    </w:lvl>
    <w:lvl w:ilvl="1">
      <w:lvlJc w:val="left"/>
      <w:lvlText w:val="(%2)"/>
      <w:numFmt w:val="lowerRoman"/>
      <w:start w:val="1"/>
    </w:lvl>
  </w:abstractNum>
  <w:abstractNum w:abstractNumId="72">
    <w:nsid w:val="7BD3EE7B"/>
    <w:multiLevelType w:val="hybridMultilevel"/>
    <w:lvl w:ilvl="0">
      <w:lvlJc w:val="left"/>
      <w:lvlText w:val="(%1)"/>
      <w:numFmt w:val="lowerRoman"/>
      <w:start w:val="7"/>
    </w:lvl>
  </w:abstractNum>
  <w:abstractNum w:abstractNumId="73">
    <w:nsid w:val="51D9C564"/>
    <w:multiLevelType w:val="hybridMultilevel"/>
    <w:lvl w:ilvl="0">
      <w:lvlJc w:val="left"/>
      <w:lvlText w:val="(%1)"/>
      <w:numFmt w:val="lowerRoman"/>
      <w:start w:val="12"/>
    </w:lvl>
  </w:abstractNum>
  <w:abstractNum w:abstractNumId="74">
    <w:nsid w:val="613EFDC5"/>
    <w:multiLevelType w:val="hybridMultilevel"/>
    <w:lvl w:ilvl="0">
      <w:lvlJc w:val="left"/>
      <w:lvlText w:val="(%1)"/>
      <w:numFmt w:val="lowerLetter"/>
      <w:start w:val="2"/>
    </w:lvl>
  </w:abstractNum>
  <w:abstractNum w:abstractNumId="75">
    <w:nsid w:val="BF72B14"/>
    <w:multiLevelType w:val="hybridMultilevel"/>
    <w:lvl w:ilvl="0">
      <w:lvlJc w:val="left"/>
      <w:lvlText w:val="(%1)"/>
      <w:numFmt w:val="lowerLetter"/>
      <w:start w:val="4"/>
    </w:lvl>
  </w:abstractNum>
  <w:abstractNum w:abstractNumId="76">
    <w:nsid w:val="11447B7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31" Type="http://schemas.openxmlformats.org/officeDocument/2006/relationships/image" Target="media/image15.jpe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60" Type="http://schemas.openxmlformats.org/officeDocument/2006/relationships/image" Target="media/image25.png"/><Relationship Id="rId61" Type="http://schemas.openxmlformats.org/officeDocument/2006/relationships/image" Target="media/image26.png"/><Relationship Id="rId62" Type="http://schemas.openxmlformats.org/officeDocument/2006/relationships/image" Target="media/image27.png"/><Relationship Id="rId63" Type="http://schemas.openxmlformats.org/officeDocument/2006/relationships/image" Target="media/image28.png"/><Relationship Id="rId64" Type="http://schemas.openxmlformats.org/officeDocument/2006/relationships/image" Target="media/image29.png"/><Relationship Id="rId65" Type="http://schemas.openxmlformats.org/officeDocument/2006/relationships/image" Target="media/image30.png"/><Relationship Id="rId66" Type="http://schemas.openxmlformats.org/officeDocument/2006/relationships/image" Target="media/image31.png"/><Relationship Id="rId67" Type="http://schemas.openxmlformats.org/officeDocument/2006/relationships/image" Target="media/image32.png"/><Relationship Id="rId68" Type="http://schemas.openxmlformats.org/officeDocument/2006/relationships/image" Target="media/image33.png"/><Relationship Id="rId69" Type="http://schemas.openxmlformats.org/officeDocument/2006/relationships/image" Target="media/image34.png"/><Relationship Id="rId70" Type="http://schemas.openxmlformats.org/officeDocument/2006/relationships/image" Target="media/image35.png"/><Relationship Id="rId71" Type="http://schemas.openxmlformats.org/officeDocument/2006/relationships/image" Target="media/image36.png"/><Relationship Id="rId72" Type="http://schemas.openxmlformats.org/officeDocument/2006/relationships/image" Target="media/image37.png"/><Relationship Id="rId73" Type="http://schemas.openxmlformats.org/officeDocument/2006/relationships/image" Target="media/image38.png"/><Relationship Id="rId74" Type="http://schemas.openxmlformats.org/officeDocument/2006/relationships/image" Target="media/image39.png"/><Relationship Id="rId75" Type="http://schemas.openxmlformats.org/officeDocument/2006/relationships/image" Target="media/image40.png"/><Relationship Id="rId76" Type="http://schemas.openxmlformats.org/officeDocument/2006/relationships/image" Target="media/image41.png"/><Relationship Id="rId77" Type="http://schemas.openxmlformats.org/officeDocument/2006/relationships/image" Target="media/image42.png"/><Relationship Id="rId78" Type="http://schemas.openxmlformats.org/officeDocument/2006/relationships/image" Target="media/image43.jpeg"/><Relationship Id="rId79" Type="http://schemas.openxmlformats.org/officeDocument/2006/relationships/image" Target="media/image44.png"/><Relationship Id="rId22" Type="http://schemas.openxmlformats.org/officeDocument/2006/relationships/hyperlink" Target="https://www.sec.gov/ix?doc=/Archives/edgar/data/1811935/000181193526000013/ptrn-20251231.htm" TargetMode="External"/><Relationship Id="rId23" Type="http://schemas.openxmlformats.org/officeDocument/2006/relationships/hyperlink" Target="https://www.sec.gov/ix?doc=/Archives/edgar/data/1811935/000181193526000039/ptrn-20260331.htm" TargetMode="External"/><Relationship Id="rId24" Type="http://schemas.openxmlformats.org/officeDocument/2006/relationships/hyperlink" Target="https://www.sec.gov/ix?doc=/Archives/edgar/data/1811935/000181193526000005/ptrn-20260205.htm" TargetMode="External"/><Relationship Id="rId25" Type="http://schemas.openxmlformats.org/officeDocument/2006/relationships/hyperlink" Target="https://www.sec.gov/ix?doc=/Archives/edgar/data/1811935/000181193526000012/ptrn-20260302.htm" TargetMode="External"/><Relationship Id="rId26" Type="http://schemas.openxmlformats.org/officeDocument/2006/relationships/hyperlink" Target="https://www.sec.gov/ix?doc=/Archives/edgar/data/1811935/000181193526000016/ptrn-20260316.htm" TargetMode="External"/><Relationship Id="rId27" Type="http://schemas.openxmlformats.org/officeDocument/2006/relationships/hyperlink" Target="https://www.sec.gov/ix?doc=/Archives/edgar/data/1811935/000181193526000044/ptrn-20260515.htm" TargetMode="External"/><Relationship Id="rId28" Type="http://schemas.openxmlformats.org/officeDocument/2006/relationships/hyperlink" Target="https://www.sec.gov/ix?doc=/Archives/edgar/data/0001811935/000181193526000046/ptrn-20260515.htm" TargetMode="External"/><Relationship Id="rId29" Type="http://schemas.openxmlformats.org/officeDocument/2006/relationships/hyperlink" Target="https://www.sec.gov/ix?doc=/Archives/edgar/data/1811935/000181193526000024/ptrn-20260331.htm" TargetMode="External"/><Relationship Id="rId30" Type="http://schemas.openxmlformats.org/officeDocument/2006/relationships/hyperlink" Target="https://www.sec.gov/Archives/edgar/data/1811935/000181193526000013/ptrn-20251231xexx41.htm" TargetMode="External"/><Relationship Id="rId41" Type="http://schemas.openxmlformats.org/officeDocument/2006/relationships/hyperlink" Target="https://www.sec.gov/Archives/edgar/data/1811935/000162828025042520/exhibit31-8xk.htm" TargetMode="External"/><Relationship Id="rId42" Type="http://schemas.openxmlformats.org/officeDocument/2006/relationships/hyperlink" Target="https://www.sec.gov/Archives/edgar/data/1811935/000162828025042520/exhibit32-8xk.htm" TargetMode="External"/><Relationship Id="rId43" Type="http://schemas.openxmlformats.org/officeDocument/2006/relationships/hyperlink" Target="https://www.sec.gov/Archives/edgar/data/1811935/000181193525000009/exhibit41-sx1a1.htm" TargetMode="External"/><Relationship Id="rId44" Type="http://schemas.openxmlformats.org/officeDocument/2006/relationships/hyperlink" Target="https://www.sec.gov/Archives/edgar/data/1811935/000162828025041036/exhibit42-sx1.htm" TargetMode="External"/><Relationship Id="rId45" Type="http://schemas.openxmlformats.org/officeDocument/2006/relationships/hyperlink" Target="https://www.sec.gov/Archives/edgar/data/1811935/000181193525000009/exhibit101-sx1a1.htm" TargetMode="External"/><Relationship Id="rId46" Type="http://schemas.openxmlformats.org/officeDocument/2006/relationships/hyperlink" Target="https://www.sec.gov/Archives/edgar/data/1811935/000162828025041036/exhibit102-sx1.htm" TargetMode="External"/><Relationship Id="rId47" Type="http://schemas.openxmlformats.org/officeDocument/2006/relationships/hyperlink" Target="https://www.sec.gov/Archives/edgar/data/1811935/000181193526000013/ptrn-20251231xexx103.htm" TargetMode="External"/><Relationship Id="rId48" Type="http://schemas.openxmlformats.org/officeDocument/2006/relationships/hyperlink" Target="https://www.sec.gov/Archives/edgar/data/1811935/000181193526000013/ptrn-20251231xexx104.htm" TargetMode="External"/><Relationship Id="rId49" Type="http://schemas.openxmlformats.org/officeDocument/2006/relationships/hyperlink" Target="https://www.sec.gov/Archives/edgar/data/1811935/000181193525000009/exhibit1019-sx1a1.htm" TargetMode="External"/><Relationship Id="rId50" Type="http://schemas.openxmlformats.org/officeDocument/2006/relationships/hyperlink" Target="https://www.sec.gov/Archives/edgar/data/1811935/000181193525000009/exhibit1020-sx1a1.htm" TargetMode="External"/><Relationship Id="rId51" Type="http://schemas.openxmlformats.org/officeDocument/2006/relationships/hyperlink" Target="https://www.sec.gov/Archives/edgar/data/1811935/000162828025041036/exhibit105-sx1.htm" TargetMode="External"/><Relationship Id="rId52" Type="http://schemas.openxmlformats.org/officeDocument/2006/relationships/hyperlink" Target="https://www.sec.gov/Archives/edgar/data/1811935/000162828025041036/exhibit1021-sx1.htm" TargetMode="External"/><Relationship Id="rId53" Type="http://schemas.openxmlformats.org/officeDocument/2006/relationships/hyperlink" Target="https://www.sec.gov/Archives/edgar/data/1811935/000162828025041036/exhibit1022-sx1.htm" TargetMode="External"/><Relationship Id="rId54" Type="http://schemas.openxmlformats.org/officeDocument/2006/relationships/hyperlink" Target="https://www.sec.gov/Archives/edgar/data/1811935/000181193525000009/exhibit1023-sx1a1.htm" TargetMode="External"/><Relationship Id="rId55" Type="http://schemas.openxmlformats.org/officeDocument/2006/relationships/hyperlink" Target="https://www.sec.gov/Archives/edgar/data/1811935/000162828025041036/exhibit1015-sx1.htm" TargetMode="External"/><Relationship Id="rId56" Type="http://schemas.openxmlformats.org/officeDocument/2006/relationships/hyperlink" Target="https://www.sec.gov/Archives/edgar/data/1811935/000162828025041036/exhibit1016-sx1.htm" TargetMode="External"/><Relationship Id="rId57" Type="http://schemas.openxmlformats.org/officeDocument/2006/relationships/hyperlink" Target="https://www.sec.gov/Archives/edgar/data/1811935/000162828025041036/exhibit1017-sx1.htm" TargetMode="External"/><Relationship Id="rId58" Type="http://schemas.openxmlformats.org/officeDocument/2006/relationships/hyperlink" Target="https://www.sec.gov/Archives/edgar/data/1811935/000162828025041036/exhibit1018-sx1.htm" TargetMode="External"/><Relationship Id="rId59" Type="http://schemas.openxmlformats.org/officeDocument/2006/relationships/hyperlink" Target="https://www.sec.gov/Archives/edgar/data/1811935/000181193525000009/exhibit211-sx1a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2026-06-15T05:41:12Z</dcterms:created>
  <dcterms:modified xsi:type="dcterms:W3CDTF">2026-06-15T05:41:12Z</dcterms:modified>
</cp:coreProperties>
</file>