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Pattern Group Inc.</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8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001-42852</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83-2556861</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18"/>
        </w:trPr>
        <w:tc>
          <w:tcPr>
            <w:tcW w:w="4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rPr>
              <w:t>(Commission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rPr>
              <w:t>incorporation)</w:t>
            </w:r>
          </w:p>
        </w:tc>
        <w:tc>
          <w:tcPr>
            <w:tcW w:w="286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rPr>
              <w:t>File 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56"/>
        </w:trPr>
        <w:tc>
          <w:tcPr>
            <w:tcW w:w="4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1441 West Innovation Way, Suite 500</w:t>
            </w: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8"/>
        </w:trPr>
        <w:tc>
          <w:tcPr>
            <w:tcW w:w="4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Lehi, UT</w:t>
            </w: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84043</w:t>
            </w:r>
          </w:p>
        </w:tc>
      </w:tr>
      <w:tr>
        <w:trPr>
          <w:trHeight w:val="270"/>
        </w:trPr>
        <w:tc>
          <w:tcPr>
            <w:tcW w:w="4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(866) 765-1355</w:t>
      </w:r>
    </w:p>
    <w:p>
      <w:pPr>
        <w:spacing w:after="0" w:line="11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500" w:hanging="383"/>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500" w:hanging="383"/>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500" w:hanging="383"/>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500" w:hanging="383"/>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78"/>
        </w:trPr>
        <w:tc>
          <w:tcPr>
            <w:tcW w:w="446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3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common stock, par value $0.001 per share</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PTRN</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Pattern Group Inc. (the “Company”) Annual Meeting of Stockholders (“Annual Meeting”) was held on May 15, 2026. There were 155,063,921 shares of Series A common stock (entitled to one vote per share) and 21,702,510 shares of Series B common stock (entitled to 20 votes per share) outstanding and entitled to vote at the Annual Meeting, of which 132,951,619 shares of Series A common stock and 21,702,510 shares of Series B common stock were presented in person, by remote communication, or represented by proxy at the Annual Meeting, which constituted a quorum to conduct business. The following are the voting results for the proposals considered and voted upon at the Annual Meeting, all of which are described in detail in the Proxy Statement.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 Election of Directors</w:t>
      </w:r>
    </w:p>
    <w:p>
      <w:pPr>
        <w:spacing w:after="0" w:line="243"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The election of the individuals named below as members of the Board of Directors, to serve for a term of three years ending at the 2029 annual meeting of stockholders and until such person’s respective successor has been duly elected and qualified or until such person’s earlier death, resignation, or removal, was approved by the following vote:</w:t>
      </w:r>
    </w:p>
    <w:p>
      <w:pPr>
        <w:spacing w:after="0" w:line="254" w:lineRule="exact"/>
        <w:rPr>
          <w:sz w:val="20"/>
          <w:szCs w:val="20"/>
          <w:color w:val="auto"/>
        </w:rPr>
      </w:pPr>
    </w:p>
    <w:tbl>
      <w:tblPr>
        <w:tblLayout w:type="fixed"/>
        <w:tblInd w:w="980" w:type="dxa"/>
        <w:tblCellMar>
          <w:top w:w="0" w:type="dxa"/>
          <w:left w:w="0" w:type="dxa"/>
          <w:bottom w:w="0" w:type="dxa"/>
          <w:right w:w="0" w:type="dxa"/>
        </w:tblCellMar>
      </w:tblPr>
      <w:tr>
        <w:trPr>
          <w:trHeight w:val="233"/>
        </w:trPr>
        <w:tc>
          <w:tcPr>
            <w:tcW w:w="18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6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0"/>
        </w:trPr>
        <w:tc>
          <w:tcPr>
            <w:tcW w:w="18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8"/>
              </w:rPr>
              <w:t>Scott Hilton</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547,477,098</w:t>
            </w:r>
          </w:p>
        </w:tc>
        <w:tc>
          <w:tcPr>
            <w:tcW w:w="2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6,160,366</w:t>
            </w:r>
          </w:p>
        </w:tc>
        <w:tc>
          <w:tcPr>
            <w:tcW w:w="22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13,364,355</w:t>
            </w:r>
          </w:p>
        </w:tc>
      </w:tr>
      <w:tr>
        <w:trPr>
          <w:trHeight w:val="234"/>
        </w:trPr>
        <w:tc>
          <w:tcPr>
            <w:tcW w:w="18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8"/>
              </w:rPr>
              <w:t>Ann Mather</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551,390,382</w:t>
            </w:r>
          </w:p>
        </w:tc>
        <w:tc>
          <w:tcPr>
            <w:tcW w:w="2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2,247,082</w:t>
            </w:r>
          </w:p>
        </w:tc>
        <w:tc>
          <w:tcPr>
            <w:tcW w:w="22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13,364,355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 Ratification of Appointment of Independent Registered Public Accounting Firm</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ratification of the Audit Committee’s appointment of Deloitte &amp; Touche LLP as the Company’s independent registered public accounting firm for the year ending December 31, 2026, was approved by the following vote:</w:t>
      </w:r>
    </w:p>
    <w:p>
      <w:pPr>
        <w:sectPr>
          <w:pgSz w:w="11900" w:h="16838" w:orient="portrait"/>
          <w:cols w:equalWidth="0" w:num="1">
            <w:col w:w="11240"/>
          </w:cols>
          <w:pgMar w:left="320" w:top="1130" w:right="339" w:bottom="1440" w:gutter="0" w:footer="0" w:header="0"/>
        </w:sectPr>
      </w:pP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42" w:lineRule="exact"/>
        <w:rPr>
          <w:sz w:val="20"/>
          <w:szCs w:val="20"/>
          <w:color w:val="auto"/>
        </w:rPr>
      </w:pPr>
    </w:p>
    <w:p>
      <w:pPr>
        <w:sectPr>
          <w:pgSz w:w="11900" w:h="16838" w:orient="portrait"/>
          <w:cols w:equalWidth="0" w:num="4">
            <w:col w:w="3200" w:space="720"/>
            <w:col w:w="2080" w:space="720"/>
            <w:col w:w="1700" w:space="720"/>
            <w:col w:w="2100"/>
          </w:cols>
          <w:pgMar w:left="320" w:top="1130"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8"/>
          <w:szCs w:val="18"/>
          <w:color w:val="auto"/>
        </w:rPr>
        <w:t>566,940,619</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7"/>
          <w:szCs w:val="17"/>
          <w:color w:val="auto"/>
        </w:rPr>
        <w:t>35,843</w:t>
      </w:r>
    </w:p>
    <w:p>
      <w:pPr>
        <w:spacing w:after="0" w:line="20" w:lineRule="exact"/>
        <w:rPr>
          <w:sz w:val="20"/>
          <w:szCs w:val="20"/>
          <w:color w:val="auto"/>
        </w:rPr>
      </w:pPr>
      <w:r>
        <w:rPr>
          <w:sz w:val="20"/>
          <w:szCs w:val="20"/>
          <w:color w:val="auto"/>
        </w:rPr>
        <w:br w:type="column"/>
      </w:r>
    </w:p>
    <w:p>
      <w:pPr>
        <w:jc w:val="center"/>
        <w:ind w:right="1800"/>
        <w:spacing w:after="0"/>
        <w:rPr>
          <w:sz w:val="20"/>
          <w:szCs w:val="20"/>
          <w:color w:val="auto"/>
        </w:rPr>
      </w:pPr>
      <w:r>
        <w:rPr>
          <w:rFonts w:ascii="Times New Roman" w:cs="Times New Roman" w:eastAsia="Times New Roman" w:hAnsi="Times New Roman"/>
          <w:sz w:val="18"/>
          <w:szCs w:val="18"/>
          <w:color w:val="auto"/>
        </w:rPr>
        <w:t>25,357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w:t>
      </w:r>
    </w:p>
    <w:p>
      <w:pPr>
        <w:spacing w:after="0" w:line="222" w:lineRule="exact"/>
        <w:rPr>
          <w:sz w:val="20"/>
          <w:szCs w:val="20"/>
          <w:color w:val="auto"/>
        </w:rPr>
      </w:pPr>
    </w:p>
    <w:p>
      <w:pPr>
        <w:sectPr>
          <w:pgSz w:w="11900" w:h="16838" w:orient="portrait"/>
          <w:cols w:equalWidth="0" w:num="4">
            <w:col w:w="3260" w:space="720"/>
            <w:col w:w="2080" w:space="720"/>
            <w:col w:w="2300" w:space="720"/>
            <w:col w:w="1440"/>
          </w:cols>
          <w:pgMar w:left="320" w:top="1130" w:right="3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 – Say on Pay Vote</w:t>
      </w:r>
    </w:p>
    <w:p>
      <w:pPr>
        <w:spacing w:after="0" w:line="2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approval, on an advisory (non-binding) basis, of the compensation paid by the Company to its named executive officers (the “Say on Pay Vote”), was approved by the following vote:</w:t>
      </w:r>
    </w:p>
    <w:p>
      <w:pPr>
        <w:sectPr>
          <w:pgSz w:w="11900" w:h="16838" w:orient="portrait"/>
          <w:cols w:equalWidth="0" w:num="1">
            <w:col w:w="11240"/>
          </w:cols>
          <w:pgMar w:left="320" w:top="1130" w:right="339" w:bottom="1440" w:gutter="0" w:footer="0" w:header="0"/>
          <w:type w:val="continuous"/>
        </w:sectPr>
      </w:pP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Broker Non-Votes</w:t>
      </w:r>
    </w:p>
    <w:p>
      <w:pPr>
        <w:spacing w:after="0" w:line="42" w:lineRule="exact"/>
        <w:rPr>
          <w:sz w:val="20"/>
          <w:szCs w:val="20"/>
          <w:color w:val="auto"/>
        </w:rPr>
      </w:pPr>
    </w:p>
    <w:p>
      <w:pPr>
        <w:sectPr>
          <w:pgSz w:w="11900" w:h="16838" w:orient="portrait"/>
          <w:cols w:equalWidth="0" w:num="4">
            <w:col w:w="3200" w:space="720"/>
            <w:col w:w="2080" w:space="720"/>
            <w:col w:w="1700" w:space="720"/>
            <w:col w:w="2100"/>
          </w:cols>
          <w:pgMar w:left="320" w:top="1130"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8"/>
          <w:szCs w:val="18"/>
          <w:color w:val="auto"/>
        </w:rPr>
        <w:t>553,516,618</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7"/>
          <w:szCs w:val="17"/>
          <w:color w:val="auto"/>
        </w:rPr>
        <w:t>95,519</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Times New Roman" w:cs="Times New Roman" w:eastAsia="Times New Roman" w:hAnsi="Times New Roman"/>
          <w:sz w:val="18"/>
          <w:szCs w:val="18"/>
          <w:color w:val="auto"/>
        </w:rPr>
        <w:t>25,327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13,364,355</w:t>
      </w:r>
    </w:p>
    <w:p>
      <w:pPr>
        <w:spacing w:after="0" w:line="211" w:lineRule="exact"/>
        <w:rPr>
          <w:sz w:val="20"/>
          <w:szCs w:val="20"/>
          <w:color w:val="auto"/>
        </w:rPr>
      </w:pPr>
    </w:p>
    <w:p>
      <w:pPr>
        <w:sectPr>
          <w:pgSz w:w="11900" w:h="16838" w:orient="portrait"/>
          <w:cols w:equalWidth="0" w:num="4">
            <w:col w:w="3260" w:space="720"/>
            <w:col w:w="2080" w:space="720"/>
            <w:col w:w="1940" w:space="720"/>
            <w:col w:w="1800"/>
          </w:cols>
          <w:pgMar w:left="320" w:top="1130" w:right="33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 – Say on Frequency Vote</w:t>
      </w:r>
    </w:p>
    <w:p>
      <w:pPr>
        <w:spacing w:after="0" w:line="24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stockholders approved the Board’s recommendation of “every year” in the non-binding advisory vote on the frequency of future Say on Pay Votes (the “Say on Frequency Vote”), by voting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Every Year</w:t>
            </w:r>
          </w:p>
        </w:tc>
        <w:tc>
          <w:tcPr>
            <w:tcW w:w="2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Every Two Years</w:t>
            </w:r>
          </w:p>
        </w:tc>
        <w:tc>
          <w:tcPr>
            <w:tcW w:w="2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Every Three Years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4"/>
        </w:trPr>
        <w:tc>
          <w:tcPr>
            <w:tcW w:w="2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553,466,608</w:t>
            </w:r>
          </w:p>
        </w:tc>
        <w:tc>
          <w:tcPr>
            <w:tcW w:w="2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24,136</w:t>
            </w:r>
          </w:p>
        </w:tc>
        <w:tc>
          <w:tcPr>
            <w:tcW w:w="24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134,377</w:t>
            </w:r>
          </w:p>
        </w:tc>
        <w:tc>
          <w:tcPr>
            <w:tcW w:w="18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12,343</w:t>
            </w:r>
          </w:p>
        </w:tc>
        <w:tc>
          <w:tcPr>
            <w:tcW w:w="24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13,364,355</w:t>
            </w:r>
          </w:p>
        </w:tc>
      </w:tr>
      <w:tr>
        <w:trPr>
          <w:trHeight w:val="1019"/>
        </w:trPr>
        <w:tc>
          <w:tcPr>
            <w:tcW w:w="21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Pattern Group Inc.</w:t>
      </w:r>
    </w:p>
    <w:p>
      <w:pPr>
        <w:spacing w:after="0" w:line="279" w:lineRule="exact"/>
        <w:rPr>
          <w:sz w:val="20"/>
          <w:szCs w:val="20"/>
          <w:color w:val="auto"/>
        </w:rPr>
      </w:pPr>
    </w:p>
    <w:p>
      <w:pPr>
        <w:ind w:left="564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 Craven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34290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tab/>
        <w:t>Ben Craven</w:t>
      </w:r>
    </w:p>
    <w:p>
      <w:pPr>
        <w:spacing w:after="0" w:line="63" w:lineRule="exact"/>
        <w:rPr>
          <w:sz w:val="20"/>
          <w:szCs w:val="20"/>
          <w:color w:val="auto"/>
        </w:rPr>
      </w:pPr>
    </w:p>
    <w:p>
      <w:pPr>
        <w:ind w:left="5640"/>
        <w:spacing w:after="0"/>
        <w:tabs>
          <w:tab w:leader="none" w:pos="63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2026-05-21T15:21:12Z</dcterms:created>
  <dcterms:modified xsi:type="dcterms:W3CDTF">2026-05-21T15:21:12Z</dcterms:modified>
</cp:coreProperties>
</file>