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6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18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August 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515" w:type="dxa"/>
        <w:jc w:val="left"/>
        <w:tblInd w:w="0" w:type="dxa"/>
        <w:tblLayout w:type="fixed"/>
        <w:tblCellMar>
          <w:top w:w="28" w:type="dxa"/>
          <w:left w:w="28" w:type="dxa"/>
          <w:bottom w:w="28" w:type="dxa"/>
          <w:right w:w="28" w:type="dxa"/>
        </w:tblCellMar>
      </w:tblPr>
      <w:tblGrid>
        <w:gridCol w:w="1446"/>
        <w:gridCol w:w="1271"/>
        <w:gridCol w:w="1798"/>
      </w:tblGrid>
      <w:tr>
        <w:trPr/>
        <w:tc>
          <w:tcPr>
            <w:tcW w:w="14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6"/>
              </w:rPr>
            </w:pPr>
            <w:r>
              <w:rPr>
                <w:rFonts w:ascii="Times New Roman;serif" w:hAnsi="Times New Roman;serif"/>
                <w:b/>
                <w:color w:val="000000"/>
                <w:sz w:val="36"/>
              </w:rPr>
              <w:t>Pattern Group Inc.</w:t>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991" w:type="dxa"/>
        <w:jc w:val="left"/>
        <w:tblInd w:w="0" w:type="dxa"/>
        <w:tblLayout w:type="fixed"/>
        <w:tblCellMar>
          <w:top w:w="28" w:type="dxa"/>
          <w:left w:w="28" w:type="dxa"/>
          <w:bottom w:w="28" w:type="dxa"/>
          <w:right w:w="28" w:type="dxa"/>
        </w:tblCellMar>
      </w:tblPr>
      <w:tblGrid>
        <w:gridCol w:w="889"/>
        <w:gridCol w:w="781"/>
        <w:gridCol w:w="789"/>
        <w:gridCol w:w="109"/>
        <w:gridCol w:w="109"/>
        <w:gridCol w:w="109"/>
        <w:gridCol w:w="408"/>
        <w:gridCol w:w="408"/>
        <w:gridCol w:w="413"/>
        <w:gridCol w:w="109"/>
        <w:gridCol w:w="109"/>
        <w:gridCol w:w="109"/>
        <w:gridCol w:w="481"/>
        <w:gridCol w:w="481"/>
        <w:gridCol w:w="68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001-42852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83-2556861</w:t>
            </w:r>
          </w:p>
        </w:tc>
      </w:tr>
      <w:tr>
        <w:trPr/>
        <w:tc>
          <w:tcPr>
            <w:tcW w:w="2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662" w:type="dxa"/>
        <w:jc w:val="left"/>
        <w:tblInd w:w="0" w:type="dxa"/>
        <w:tblLayout w:type="fixed"/>
        <w:tblCellMar>
          <w:top w:w="28" w:type="dxa"/>
          <w:left w:w="28" w:type="dxa"/>
          <w:bottom w:w="28" w:type="dxa"/>
          <w:right w:w="28" w:type="dxa"/>
        </w:tblCellMar>
      </w:tblPr>
      <w:tblGrid>
        <w:gridCol w:w="1196"/>
        <w:gridCol w:w="1049"/>
        <w:gridCol w:w="1055"/>
        <w:gridCol w:w="109"/>
        <w:gridCol w:w="109"/>
        <w:gridCol w:w="109"/>
        <w:gridCol w:w="303"/>
        <w:gridCol w:w="303"/>
        <w:gridCol w:w="429"/>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1441 West Innovation Way, Suite 500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Lehi, 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84043</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2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(866) 765-1355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499"/>
        <w:gridCol w:w="1310"/>
        <w:gridCol w:w="1325"/>
        <w:gridCol w:w="109"/>
        <w:gridCol w:w="109"/>
        <w:gridCol w:w="109"/>
        <w:gridCol w:w="555"/>
        <w:gridCol w:w="555"/>
        <w:gridCol w:w="557"/>
        <w:gridCol w:w="109"/>
        <w:gridCol w:w="109"/>
        <w:gridCol w:w="109"/>
        <w:gridCol w:w="1095"/>
        <w:gridCol w:w="1095"/>
        <w:gridCol w:w="1560"/>
      </w:tblGrid>
      <w:tr>
        <w:trPr/>
        <w:tc>
          <w:tcPr>
            <w:tcW w:w="1499"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4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PTRN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0" w:after="6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August 5, 2026, Pattern Group Inc. (the “Company”) issued a press release announcing its financial results for the quarter ended June 30, 2026. A copy of the press release is furnished as Exhibit 99.1 to this Current Report on Form 8-K and is incorporated herein by reference.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including Exhibit 99.1 hereto, shall not be deemed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regardless of any general incorporation language in such filings,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270"/>
        <w:jc w:val="left"/>
        <w:rPr>
          <w:rFonts w:ascii="Times New Roman;serif" w:hAnsi="Times New Roman;serif"/>
          <w:b/>
          <w:color w:val="000000"/>
          <w:sz w:val="20"/>
        </w:rPr>
      </w:pPr>
      <w:r>
        <w:rPr>
          <w:rFonts w:ascii="Times New Roman;serif" w:hAnsi="Times New Roman;serif"/>
          <w:b/>
          <w:color w:val="000000"/>
          <w:sz w:val="20"/>
        </w:rPr>
        <w:t xml:space="preserve">(d)Exhibits </w:t>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1"/>
        <w:gridCol w:w="1941"/>
        <w:gridCol w:w="276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ptrn-20260630xearningsrel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issued on August 5, 2026</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606" w:type="dxa"/>
        <w:jc w:val="left"/>
        <w:tblInd w:w="0" w:type="dxa"/>
        <w:tblLayout w:type="fixed"/>
        <w:tblCellMar>
          <w:top w:w="28" w:type="dxa"/>
          <w:left w:w="28" w:type="dxa"/>
          <w:bottom w:w="28" w:type="dxa"/>
          <w:right w:w="28" w:type="dxa"/>
        </w:tblCellMar>
      </w:tblPr>
      <w:tblGrid>
        <w:gridCol w:w="667"/>
        <w:gridCol w:w="587"/>
        <w:gridCol w:w="590"/>
        <w:gridCol w:w="251"/>
        <w:gridCol w:w="251"/>
        <w:gridCol w:w="251"/>
        <w:gridCol w:w="584"/>
        <w:gridCol w:w="584"/>
        <w:gridCol w:w="8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Pattern Group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Jason Beesley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Jason Beesley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Pattern Reports Record Second Quarter 2026 Financial Results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Q2 Revenue Growth of 47% Year over Year, for a Record $877 million</w:t>
      </w:r>
    </w:p>
    <w:p>
      <w:pPr>
        <w:pStyle w:val="TextBody"/>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Record NRR of 129%, up from 118% in the Prior Year Period</w:t>
      </w:r>
    </w:p>
    <w:p>
      <w:pPr>
        <w:pStyle w:val="TextBody"/>
        <w:bidi w:val="0"/>
        <w:spacing w:before="0" w:after="0"/>
        <w:jc w:val="center"/>
        <w:rPr/>
      </w:pPr>
      <w:r>
        <w:rPr/>
      </w:r>
    </w:p>
    <w:p>
      <w:pPr>
        <w:pStyle w:val="TextBody"/>
        <w:bidi w:val="0"/>
        <w:spacing w:lineRule="auto" w:line="288" w:before="0" w:after="180"/>
        <w:jc w:val="left"/>
        <w:rPr/>
      </w:pPr>
      <w:r>
        <w:rPr>
          <w:rFonts w:ascii="Times New Roman;serif" w:hAnsi="Times New Roman;serif"/>
          <w:b/>
          <w:color w:val="000000"/>
          <w:sz w:val="20"/>
        </w:rPr>
        <w:t xml:space="preserve">LEHI, UT — August 5, 2026 — </w:t>
      </w:r>
      <w:r>
        <w:rPr>
          <w:rFonts w:ascii="Times New Roman;serif" w:hAnsi="Times New Roman;serif"/>
          <w:b w:val="false"/>
          <w:color w:val="000000"/>
          <w:sz w:val="20"/>
          <w:shd w:fill="FFFFFF" w:val="clear"/>
        </w:rPr>
        <w:t xml:space="preserve">Pattern Group Inc. (NASDAQ: PTRN), a leader in accelerating brands on global ecommerce marketplaces, today announced financial results for the second quarter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"Q2 marked our fourth consecutive quarter of 40%-plus revenue growth, and the fourth consecutive quarter of adjusted EBITDA growth outpacing revenue. NRR reached a record 129% and our international business crossed $100 million for the first time. Our model is working,” said Dave Wright, Co-Founder and CEO of Pattern. "The deeper brands engage with Pattern, the stronger our data advantage becomes, and the faster they grow."</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brands we serve are operating in a faster, more competitive, and more complex ecommerce landscape than they were even just a year ago. In May, we launched Pattern Intelligence, or Pi, powered by more than 91 trillion data points and 44 patents issued or pending, delivering real-time optimization across every lever of ecommerce growth. Pi represents years of deliberate investment in our data and AI architecture. We enter the second half of 2026 with momentum and a model that keeps compounding," said Wright.</w: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Second Quarter 2026 Financial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Record Revenues of $877 million, up 47%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Record Net Revenue Retention Rate (“NRR”) of 129%, up from 118% in the prior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Record Revenue, not attributable to Amazon, of $82 million, up 93%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Record International Revenue of $110 million, up 87% year over year.</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Net income of $27 million, up 16% year over year, and diluted earnings per share of $0.15.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EBITDA (non-GAAP) of $54 million, up 54%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cash provided by operating activities for the trailing twelve months (“TTM”) ended June 30, 2026 of $136 million, up 76%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Free Cash Flow (non-GAAP) for the TTM ended June 30, 2026 of $106 million, up 92% year over year. </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See “Non-GAAP Financial Measures” for additional information on non-GAAP financial measures and a reconciliation to the most comparable GAAP measures. </w: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Financial Outlook</w:t>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Q2 demonstrates the strength of our model. Revenue grew 47% year over year, Adjusted EBITDA grew 54%, trailing twelve-month free cash flow grew 92%, and we ended the quarter with $346 million in cash and no debt. This performance gives us confidence to again raise our full-year outlook," said Jason Beesley, Chief Financial Officer. "Our Q3 outlook reflects about 4 points of revenue and Adjusted EBITDA growth moving into Q2 from Q3, due to the calendar shift of the large marketplace promotional events, which changed from July last year to June this year. We are seeing strong momentum across the business and look forward to continuing to deliver for our brand partners."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 the third quarter 2026, Pattern anticipates: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Revenues in the range of $840 million to $860 million, representing approximately 31% to 34% growth year over year.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(non-GAAP) in the range of $51 million to $53 million, representing approximately 25% to 29% growth year over year.</w:t>
      </w:r>
    </w:p>
    <w:p>
      <w:pPr>
        <w:pStyle w:val="TextBody"/>
        <w:bidi w:val="0"/>
        <w:spacing w:before="0" w:after="180"/>
        <w:ind w:left="0" w:right="0" w:firstLine="36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For the full year 2026, Pattern anticipates: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Revenues in the range of $3.42 billion to $3.46 billion, representing approximately 37% to 38% growth year over year.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(non-GAAP) in the range of $211 million to $213 million, representing approximately 38% to 40% growth year over year.</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See “Non-GAAP Financial Measures” for additional information on non-GAAP financial measures.</w: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Conference Call, Webcast, and Other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Pattern will host a conference call and live webcast to discuss its second quarter 2026 financial results at 2:30 p.m. Mountain Time today, August 5, 2026. A live webcast of the call can be accessed from Pattern’s investor relations website at https://investors.pattern.com/. An archived version of the webcast will be available from the same website after the call.</w: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About Pattern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Pattern accelerates brands on global ecommerce marketplaces leveraging proprietary technology and AI. Utilizing more than 91 trillion data points, sophisticated machine learning and AI models, Pattern optimizes and automates all levers of ecommerce growth for global brands, including advertising, content management, logistics and fulfillment, pricing, forecasting and customer service. Hundreds of global brands depend on Pattern’s ecommerce acceleration platform every day to drive profitable revenue growth across more than 70 global marketplaces—including Amazon, TikTok Shop, Walmart.com, Target.com, eBay, Tmall, JD, and Mercado Libre.</w: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and corresponding presentation contain “forward-looking statements” within the meaning of the Securities Act of 1933, as amended, the Securities Exchange Act of 1934, as amended, and the Private Securities Litigation Reform Act of 1995. Such forward-looking statements include all statements other than statements of historical fact, including but not limited to statements regarding the Company’s future performance, growth, opportunities, profitability, cash flows, offerings, momentum, growth of new and existing brand partners, expectations regarding our share repurchase program, growth of our non-Amazon and international business, strategies, market position, macro environment, geopolitical conflict, impacts of trade policies, potential supply chain disruptions, price increases, market trends, consumer spending, sentiment and practices, and our ability to navigate the same; financial guidance regarding revenues, revenue growth, adjusted EBITDA, adjusted EBITDA growth, and other financial items; and statements involving timing, beliefs or assumptions underlying any of the foregoing. You should not place any undue reliance on any forward-looking statements, which speak only as of the date they were made. We undertake no obligation to update any forward-looking statements to reflect events or circumstances arising after the date hereof. </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inherently difficult to predict. Actual results could differ materially for a number of reasons, including but not limited to those related to the Company’s relatively limited history operating as a public company which makes it difficult to evaluate the Company’s business and prospects, the market for the Company’s product or service offerings developing slower or differently than expected; any difficulties we may experience with brand partners, marketplaces, sourcing of products, accessing and utilizing marketplace data, responding to technological advancement, attracting/retaining key employees, forecasting consumer demand and practices, maintaining customer satisfaction, optimizing operations, driving traffic to our products; any difficulties with our infrastructure, fulfillment partners, supply chain, payment processors, data storage, data processing, shipping, insurance, competition, macroeconomic factors, consumer discretionary spending, tariffs or trade policies, global or political conflict, inflation rates, exchange rates, or any inability to sustain profitable growth. Other risks and uncertainties include, among others, any problems with product or tool integration, protection of our intellectual property, cyber-attacks or data breaches affecting us, adverse tax, compliance, regulatory or legal developments, lawsuits or claims, and other risks and uncertainties that are detailed under the caption “Risk Factors” and elsewhere in our Annual Report on Form 10-K for the year ended December 31, 2025, filed with the Securities and Exchange </w:t>
      </w:r>
    </w:p>
    <w:p>
      <w:pPr>
        <w:pStyle w:val="TextBody"/>
        <w:bidi w:val="0"/>
        <w:spacing w:before="0" w:after="180"/>
        <w:ind w:left="0" w:right="0" w:firstLine="36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Commission ("SEC") on March 6, 2026, our quarterly report on Form 10-Q for the quarter ended March 31, 2026, filed with the SEC on May 7, 2026, and in our subsequent filings with the SEC.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Media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Tom Cook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Global Communications</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press@pattern.com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Investor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Whitney Kukulka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Blueshirt Group </w:t>
      </w:r>
    </w:p>
    <w:p>
      <w:pPr>
        <w:pStyle w:val="TextBody"/>
        <w:bidi w:val="0"/>
        <w:spacing w:lineRule="auto" w:line="288" w:before="0" w:after="180"/>
        <w:jc w:val="left"/>
        <w:rPr/>
      </w:pPr>
      <w:r>
        <w:rPr>
          <w:rFonts w:ascii="Times New Roman;serif" w:hAnsi="Times New Roman;serif"/>
          <w:b w:val="false"/>
          <w:color w:val="000000"/>
          <w:sz w:val="20"/>
          <w:u w:val="single"/>
        </w:rPr>
        <w:t>investors@pattern.com</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Pattern Group Inc. and Subsidiaries </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except per share data) </w:t>
      </w:r>
    </w:p>
    <w:tbl>
      <w:tblPr>
        <w:tblW w:w="10205" w:type="dxa"/>
        <w:jc w:val="left"/>
        <w:tblInd w:w="0" w:type="dxa"/>
        <w:tblLayout w:type="fixed"/>
        <w:tblCellMar>
          <w:top w:w="28" w:type="dxa"/>
          <w:left w:w="28" w:type="dxa"/>
          <w:bottom w:w="28" w:type="dxa"/>
          <w:right w:w="28" w:type="dxa"/>
        </w:tblCellMar>
      </w:tblPr>
      <w:tblGrid>
        <w:gridCol w:w="1659"/>
        <w:gridCol w:w="1317"/>
        <w:gridCol w:w="1318"/>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65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1,650,500 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925,904 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314,527 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1,575,393 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130"/>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income attributable to common stockholders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share attributable to common stockholders: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176,882 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Pattern Group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383" w:type="dxa"/>
        <w:jc w:val="left"/>
        <w:tblInd w:w="0" w:type="dxa"/>
        <w:tblLayout w:type="fixed"/>
        <w:tblCellMar>
          <w:top w:w="28" w:type="dxa"/>
          <w:left w:w="28" w:type="dxa"/>
          <w:bottom w:w="28" w:type="dxa"/>
          <w:right w:w="28" w:type="dxa"/>
        </w:tblCellMar>
      </w:tblPr>
      <w:tblGrid>
        <w:gridCol w:w="2429"/>
        <w:gridCol w:w="2138"/>
        <w:gridCol w:w="2152"/>
        <w:gridCol w:w="211"/>
        <w:gridCol w:w="826"/>
        <w:gridCol w:w="109"/>
        <w:gridCol w:w="109"/>
        <w:gridCol w:w="109"/>
        <w:gridCol w:w="109"/>
        <w:gridCol w:w="211"/>
        <w:gridCol w:w="826"/>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Cash flows from investing activities: </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withheld upon vesting of restricted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Pattern Group Inc. and Subsidiaries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2746"/>
        <w:gridCol w:w="2250"/>
        <w:gridCol w:w="2225"/>
        <w:gridCol w:w="242"/>
        <w:gridCol w:w="948"/>
        <w:gridCol w:w="124"/>
        <w:gridCol w:w="109"/>
        <w:gridCol w:w="109"/>
        <w:gridCol w:w="109"/>
        <w:gridCol w:w="211"/>
        <w:gridCol w:w="976"/>
        <w:gridCol w:w="156"/>
      </w:tblGrid>
      <w:tr>
        <w:trPr/>
        <w:tc>
          <w:tcPr>
            <w:tcW w:w="2746"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294,737 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318,298 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792,575 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893,940 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947,639 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1,072,598 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 and Stockholders' Equity</w:t>
            </w:r>
          </w:p>
        </w:tc>
        <w:tc>
          <w:tcPr>
            <w:tcW w:w="13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300,258 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338,542 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380,119 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366,644 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426,966 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A Common stock, $0.001 par value: 2,200,000 and 2,200,000 shares authorized, respectively; 154,691 and 155,381 shares issued and outstanding, respectively</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B Common stock, $0.001 par value: 100,000 and 100,000 shares authorized, respectively; 21,703 and 21,703 shares issued and outstanding, respectively</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551,648 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559,802 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580,995 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645,632 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947,639 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1,072,598 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Supplemental Operational Data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measure our business using both financial and operating metrics to assess the near-term and long-term performance of our overall business, including identifying trends, formulating financial projections, making strategic decisions, assessing operational efficiencies and monitoring our business.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Existing brand partners are brand partners that have been with Pattern for more than twelve months since Pattern first generated over $1,000 in revenue attributable to such brand partner. New brand partners are all other brand partners that are not existing brand partners.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NRR is an important metric to measure the long-term performance of our brand partner relationships. In any given period, we calculate NRR by comparing total revenue attributable to all existing brand partners in the current trailing 12-month period to that of the previous trailing 12-month period. This metric, expressed as a percentage, provides valuable insight into the accelerated growth delivered through our platform, the effectiveness of our brand expansion strategies and our ability to deepen relationships with existing brand partners. For the purpose of our NRR calculation, we only include brand partners that, as of the measurement date, are existing brand partners. Additionally, for those existing brand partners that, as of the measurement date, have been with Pattern for more than twelve full months but less than 24 full months since we first generated over $1,000 in revenue attributable to such brand partner, we only include current period revenue for the corresponding months in the current period for which the brand partner had attributable revenue in the previous period. </w: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Non-GAAP Financial Measures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providing certain non-GAAP financial measures in this release and related earnings conference call, including adjusted EBITDA and free cash flow. We use these non-GAAP measures internally in analyzing our financial results and we believe they are useful to investors, as a supplement to GAAP measures, in evaluating our ongoing operational performance in the same manner as our management and board of directors. We have provided reconciliations of these non-GAAP financial measures to the most directly comparable GAAP measures in this earnings release. These non-GAAP financial measures should be used in addition to and in conjunction with the results presented in accordance with GAAP and should not be relied upon to the exclusion of GAAP financial measures.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calculate forward-looking non-GAAP financial measures, such as Adjusted EBITDA, based on internal forecasts that omit certain amounts that would be included in forward-looking GAAP financial measures. We do not attempt to provide a reconciliation of forward-looking non-GAAP financial measures to forward-looking GAAP financial measures because forecasting the timing or amount of items that have not yet occurred and are out of our control is inherently uncertain and unavailable without unreasonable efforts. Further, we believe that such reconciliations would imply a degree of precision and certainty that could be confusing to investors. Such items could have a substantial impact on GAAP measures of financial performance.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calculate Adjusted EBITDA, as net income excluding depreciation and amortization; interest income, net; provision for income taxes; share-based compensation expense and related taxes; indirect initial public offering and secondary offering costs; and other items that we do not consider representative of our underlying operations. We believe it is useful to exclude charges, such as depreciation and amortization and share-based compensation expense from our Adjusted EBITDA because the amount of such expenses in any specific period may not directly correlate to the underlying performance of our business operations. We believe it is useful to exclude interest income, net; provision for income taxes; and other items that are not components of our core business operations. Non-GAAP financial measures such as Adjusted EBITDA should not be considered in isolation or as an alternative to net income or any other measure of financial performance calculated and prescribed in accordance with GAAP. In addition, Adjusted EBITDA may not be comparable to similarly titled measures in other organizations because other organizations may not calculate Adjusted EBITDA in the same manner as we do, thus limiting its usefulness as a comparative measure.</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Free cash flow is a non-GAAP financial measure that is calculated as net cash provided by operating activities reduced by purchases for property and equipment. We believe free cash flow is a useful measure to evaluate the cash </w:t>
      </w:r>
    </w:p>
    <w:p>
      <w:pPr>
        <w:pStyle w:val="TextBody"/>
        <w:bidi w:val="0"/>
        <w:spacing w:before="0" w:after="2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impact of the operations of the business including purchases of property and equipment which are a necessary component of our ongoing operations.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to Adjusted EBITDA:</w:t>
      </w:r>
    </w:p>
    <w:tbl>
      <w:tblPr>
        <w:tblW w:w="7959" w:type="dxa"/>
        <w:jc w:val="left"/>
        <w:tblInd w:w="0" w:type="dxa"/>
        <w:tblLayout w:type="fixed"/>
        <w:tblCellMar>
          <w:top w:w="28" w:type="dxa"/>
          <w:left w:w="28" w:type="dxa"/>
          <w:bottom w:w="28" w:type="dxa"/>
          <w:right w:w="28" w:type="dxa"/>
        </w:tblCellMar>
      </w:tblPr>
      <w:tblGrid>
        <w:gridCol w:w="1835"/>
        <w:gridCol w:w="1615"/>
        <w:gridCol w:w="1619"/>
        <w:gridCol w:w="211"/>
        <w:gridCol w:w="721"/>
        <w:gridCol w:w="109"/>
        <w:gridCol w:w="109"/>
        <w:gridCol w:w="109"/>
        <w:gridCol w:w="109"/>
        <w:gridCol w:w="211"/>
        <w:gridCol w:w="721"/>
        <w:gridCol w:w="109"/>
        <w:gridCol w:w="109"/>
        <w:gridCol w:w="109"/>
        <w:gridCol w:w="109"/>
        <w:gridCol w:w="154"/>
      </w:tblGrid>
      <w:tr>
        <w:trPr/>
        <w:tc>
          <w:tcPr>
            <w:tcW w:w="183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 (deduct):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Share-based compensation and related taxes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Indirect initial public offering and secondary offering costs</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(1)Share-based compensation and related taxes include compensation expense for both stock and cash settled restricted stock units and the related employer taxes.</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(2)Secondary offering costs relate to fees and expenses incurred in conjunction with an underwritten secondary public offering by a certain stockholder of the Company. Pursuant to the Amended and Restated Investors’ Rights Agreement, dated as of September 28, 2021, by and among the Company and the investors listed therein, we are obligated to bear the registration expenses associated with such offering. We did not receive any proceeds from the sale of shares by the selling stockholder.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cash provided by operating activities to free cash flow:</w:t>
      </w:r>
    </w:p>
    <w:tbl>
      <w:tblPr>
        <w:tblW w:w="7255" w:type="dxa"/>
        <w:jc w:val="left"/>
        <w:tblInd w:w="0" w:type="dxa"/>
        <w:tblLayout w:type="fixed"/>
        <w:tblCellMar>
          <w:top w:w="28" w:type="dxa"/>
          <w:left w:w="28" w:type="dxa"/>
          <w:bottom w:w="28" w:type="dxa"/>
          <w:right w:w="28" w:type="dxa"/>
        </w:tblCellMar>
      </w:tblPr>
      <w:tblGrid>
        <w:gridCol w:w="1253"/>
        <w:gridCol w:w="1104"/>
        <w:gridCol w:w="1107"/>
        <w:gridCol w:w="109"/>
        <w:gridCol w:w="109"/>
        <w:gridCol w:w="178"/>
        <w:gridCol w:w="178"/>
        <w:gridCol w:w="344"/>
        <w:gridCol w:w="1177"/>
        <w:gridCol w:w="178"/>
        <w:gridCol w:w="109"/>
        <w:gridCol w:w="109"/>
        <w:gridCol w:w="109"/>
        <w:gridCol w:w="211"/>
        <w:gridCol w:w="82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5"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Last Twelve Months Ended</w:t>
              <w:br/>
              <w:t>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77,324 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55,155 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3270</Words>
  <Characters>18843</Characters>
  <CharactersWithSpaces>21843</CharactersWithSpaces>
  <Paragraphs>472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