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424(b)(4)</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Statement No. 333-289810</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21,428,572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36195</wp:posOffset>
            </wp:positionV>
            <wp:extent cx="144018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28321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Pattern Group Inc.</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Series A Common Stock</w:t>
      </w:r>
    </w:p>
    <w:p>
      <w:pPr>
        <w:spacing w:after="0" w:line="96" w:lineRule="exact"/>
        <w:rPr>
          <w:sz w:val="24"/>
          <w:szCs w:val="24"/>
          <w:color w:val="auto"/>
        </w:rPr>
      </w:pPr>
    </w:p>
    <w:p>
      <w:pPr>
        <w:ind w:right="20" w:firstLine="648"/>
        <w:spacing w:after="0" w:line="272" w:lineRule="auto"/>
        <w:rPr>
          <w:sz w:val="20"/>
          <w:szCs w:val="20"/>
          <w:color w:val="auto"/>
        </w:rPr>
      </w:pPr>
      <w:r>
        <w:rPr>
          <w:rFonts w:ascii="Times New Roman" w:cs="Times New Roman" w:eastAsia="Times New Roman" w:hAnsi="Times New Roman"/>
          <w:sz w:val="16"/>
          <w:szCs w:val="16"/>
          <w:color w:val="auto"/>
        </w:rPr>
        <w:t>This is an initial public offering of shares of Series A common stock of Pattern Group Inc. We are offering 10,714,286 shares of our Series A common stock and the selling stockholders identified in this prospectus are selling 10,714,286 shares of our Series A common stock. We will not receive any proceeds from the sale of shares of Series A common stock to be offered by the selling stockholders.</w:t>
      </w:r>
    </w:p>
    <w:p>
      <w:pPr>
        <w:spacing w:after="0" w:line="117" w:lineRule="exact"/>
        <w:rPr>
          <w:sz w:val="24"/>
          <w:szCs w:val="24"/>
          <w:color w:val="auto"/>
        </w:rPr>
      </w:pPr>
    </w:p>
    <w:p>
      <w:pPr>
        <w:ind w:right="40" w:firstLine="648"/>
        <w:spacing w:after="0" w:line="298"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Series A common stock. The initial public offering price is $14.00 per share. We have been approved to list our Series A common stock on the Nasdaq Global Select Market under the symbol “PTRN”.</w:t>
      </w:r>
    </w:p>
    <w:p>
      <w:pPr>
        <w:spacing w:after="0" w:line="97" w:lineRule="exact"/>
        <w:rPr>
          <w:sz w:val="24"/>
          <w:szCs w:val="24"/>
          <w:color w:val="auto"/>
        </w:rPr>
      </w:pPr>
    </w:p>
    <w:p>
      <w:pPr>
        <w:ind w:firstLine="648"/>
        <w:spacing w:after="0" w:line="256" w:lineRule="auto"/>
        <w:rPr>
          <w:sz w:val="20"/>
          <w:szCs w:val="20"/>
          <w:color w:val="auto"/>
        </w:rPr>
      </w:pPr>
      <w:r>
        <w:rPr>
          <w:rFonts w:ascii="Times New Roman" w:cs="Times New Roman" w:eastAsia="Times New Roman" w:hAnsi="Times New Roman"/>
          <w:sz w:val="16"/>
          <w:szCs w:val="16"/>
          <w:color w:val="auto"/>
        </w:rPr>
        <w:t>Following this offering, we will have two series of common stock: Series A common stock and Series B common stock. The rights of the holders of Series A common stock and Series B common stock are identical, except with respect to voting and conversion rights. Each share of Series A common stock is entitled to one vote. Each share of Series B common stock is entitled to 20 votes and is convertible at any time into one share of Series A common stock. All shares of our capital stock outstanding immediately prior to this offering, including all shares held by our executive officers (other than David Wright and Melanie Alder (“co-founders”)), employees and directors (other than our co-founders), and their respective affiliates, will be reclassified into shares of our Series A common stock immediately prior to the consummation of this offering and all shares of capital stock outstanding immediately prior to this offering held directly by our co-founders will be reclassified into shares of our Series B common stock. Upon the completion of this offering, all shares of Series B common stock will be held directly by our co-founders, both of whom are current executive officers and directors. Upon completion of this offering, our co-founders, together with their affiliated family trusts (such trusts, the “co-founder trusts”), will collectively hold approximately 86.5% of the voting power of our outstanding capital stock (or 85.9% if the underwriters exercise their option to purchase additional shares of our Series A common stock from the co-founder trusts in full), which voting power may increase over time, and the holders of our outstanding Series A common stock (other than the co-founders and the co-founder trusts) will hold approximately 13.5% of the voting power of our outstanding capital stock (or 14.1% if the underwriters exercise their option to purchase additional shares of our Series A common stock from the co-founder trusts in full).</w:t>
      </w:r>
    </w:p>
    <w:p>
      <w:pPr>
        <w:spacing w:after="0" w:line="88" w:lineRule="exact"/>
        <w:rPr>
          <w:sz w:val="24"/>
          <w:szCs w:val="24"/>
          <w:color w:val="auto"/>
        </w:rPr>
      </w:pPr>
    </w:p>
    <w:p>
      <w:pPr>
        <w:ind w:right="160" w:firstLine="648"/>
        <w:spacing w:after="0" w:line="263" w:lineRule="auto"/>
        <w:rPr>
          <w:sz w:val="20"/>
          <w:szCs w:val="20"/>
          <w:color w:val="auto"/>
        </w:rPr>
      </w:pPr>
      <w:r>
        <w:rPr>
          <w:rFonts w:ascii="Times New Roman" w:cs="Times New Roman" w:eastAsia="Times New Roman" w:hAnsi="Times New Roman"/>
          <w:sz w:val="16"/>
          <w:szCs w:val="16"/>
          <w:color w:val="auto"/>
        </w:rPr>
        <w:t>Following the completion of this offering, as a result of our co-founders’ ownership of our Series B common stock, we will be a “controlled company” under the corporate governance requirements of the Nasdaq Stock Market and may elect not to comply with certain corporate governance standards. See the sections titled “Management—Controlled Company” and “Risk Factors—Risks Related to Our Corporate Structure—We are a “controlled company” under the corporate governance requirements of the Nasdaq Stock Market, and intend to avail ourselves of certain reduced corporate governance requirements” for more information.”</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the section titled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xml:space="preserve">” beginning on page </w:t>
      </w:r>
      <w:r>
        <w:rPr>
          <w:rFonts w:ascii="Times New Roman" w:cs="Times New Roman" w:eastAsia="Times New Roman" w:hAnsi="Times New Roman"/>
          <w:sz w:val="16"/>
          <w:szCs w:val="16"/>
          <w:b w:val="1"/>
          <w:bCs w:val="1"/>
          <w:u w:val="single" w:color="auto"/>
          <w:color w:val="0000FF"/>
        </w:rPr>
        <w:t>21</w:t>
      </w:r>
      <w:r>
        <w:rPr>
          <w:rFonts w:ascii="Times New Roman" w:cs="Times New Roman" w:eastAsia="Times New Roman" w:hAnsi="Times New Roman"/>
          <w:sz w:val="16"/>
          <w:szCs w:val="16"/>
          <w:b w:val="1"/>
          <w:bCs w:val="1"/>
          <w:color w:val="auto"/>
        </w:rPr>
        <w:t xml:space="preserve"> to read about factors you should consider before buying our Series A common stock.</w:t>
      </w:r>
    </w:p>
    <w:p>
      <w:pPr>
        <w:spacing w:after="0" w:line="75" w:lineRule="exact"/>
        <w:rPr>
          <w:sz w:val="24"/>
          <w:szCs w:val="24"/>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0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8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public offering price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300,000,008</w:t>
            </w:r>
          </w:p>
        </w:tc>
      </w:tr>
      <w:tr>
        <w:trPr>
          <w:trHeight w:val="216"/>
        </w:trPr>
        <w:tc>
          <w:tcPr>
            <w:tcW w:w="86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0.98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21,000,001</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139,500,004</w:t>
            </w:r>
          </w:p>
        </w:tc>
      </w:tr>
      <w:tr>
        <w:trPr>
          <w:trHeight w:val="210"/>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before expenses, to the selling stockholders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139,500,004</w:t>
            </w:r>
          </w:p>
        </w:tc>
      </w:tr>
    </w:tbl>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u w:val="single" w:color="auto"/>
          <w:color w:val="0000FF"/>
        </w:rPr>
        <w:t>Underwriting</w:t>
      </w:r>
      <w:r>
        <w:rPr>
          <w:rFonts w:ascii="Times New Roman" w:cs="Times New Roman" w:eastAsia="Times New Roman" w:hAnsi="Times New Roman"/>
          <w:sz w:val="14"/>
          <w:szCs w:val="14"/>
          <w:color w:val="auto"/>
        </w:rPr>
        <w:t>” for additional information regarding compensation payable to the underwriters.</w:t>
      </w:r>
    </w:p>
    <w:p>
      <w:pPr>
        <w:spacing w:after="0" w:line="119" w:lineRule="exact"/>
        <w:rPr>
          <w:sz w:val="24"/>
          <w:szCs w:val="24"/>
          <w:color w:val="auto"/>
        </w:rPr>
      </w:pPr>
    </w:p>
    <w:p>
      <w:pPr>
        <w:jc w:val="both"/>
        <w:ind w:right="120"/>
        <w:spacing w:after="0" w:line="263" w:lineRule="auto"/>
        <w:rPr>
          <w:sz w:val="20"/>
          <w:szCs w:val="20"/>
          <w:color w:val="auto"/>
        </w:rPr>
      </w:pPr>
      <w:r>
        <w:rPr>
          <w:rFonts w:ascii="Times New Roman" w:cs="Times New Roman" w:eastAsia="Times New Roman" w:hAnsi="Times New Roman"/>
          <w:sz w:val="16"/>
          <w:szCs w:val="16"/>
          <w:color w:val="auto"/>
        </w:rPr>
        <w:t>The underwriters have the option to purchase up to an additional 3,214,285 shares of Series A common stock from the co-founder trusts at the initial public offering price, less the underwriting discount, for 30 days after the date of this prospectus. At our request, the underwriters have reserved up to 1,071,428 shares of our Series A common stock, or 5% of the shares being offered pursuant to this prospectus, for sale at the initial public offering price to certain employees as determined by certain of our officers. See the section titled “Underwriting—Directed Share Program” for additional information.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underwriters expect to deliver the shares against payment in New York, New York on or about September 22, 2025.</w:t>
      </w:r>
    </w:p>
    <w:p>
      <w:pPr>
        <w:sectPr>
          <w:pgSz w:w="11900" w:h="16838" w:orient="portrait"/>
          <w:cols w:equalWidth="0" w:num="1">
            <w:col w:w="11240"/>
          </w:cols>
          <w:pgMar w:left="320" w:top="225" w:right="339" w:bottom="1440" w:gutter="0" w:footer="0" w:header="0"/>
        </w:sectPr>
      </w:pPr>
    </w:p>
    <w:p>
      <w:pPr>
        <w:spacing w:after="0" w:line="10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191" w:lineRule="exact"/>
        <w:rPr>
          <w:sz w:val="24"/>
          <w:szCs w:val="24"/>
          <w:color w:val="auto"/>
        </w:rPr>
      </w:pPr>
    </w:p>
    <w:p>
      <w:pPr>
        <w:sectPr>
          <w:pgSz w:w="11900" w:h="16838" w:orient="portrait"/>
          <w:cols w:equalWidth="0" w:num="2">
            <w:col w:w="9260" w:space="720"/>
            <w:col w:w="1260"/>
          </w:cols>
          <w:pgMar w:left="320" w:top="225" w:right="33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21"/>
          <w:szCs w:val="21"/>
          <w:b w:val="1"/>
          <w:bCs w:val="1"/>
          <w:color w:val="auto"/>
        </w:rPr>
        <w:t>Evercore ISI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Jefferies</w:t>
      </w:r>
    </w:p>
    <w:p>
      <w:pPr>
        <w:spacing w:after="0" w:line="170" w:lineRule="exact"/>
        <w:rPr>
          <w:sz w:val="24"/>
          <w:szCs w:val="24"/>
          <w:color w:val="auto"/>
        </w:rPr>
      </w:pPr>
    </w:p>
    <w:p>
      <w:pPr>
        <w:sectPr>
          <w:pgSz w:w="11900" w:h="16838" w:orient="portrait"/>
          <w:cols w:equalWidth="0" w:num="2">
            <w:col w:w="7320" w:space="720"/>
            <w:col w:w="3200"/>
          </w:cols>
          <w:pgMar w:left="320" w:top="225"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Baird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BMO Capital Markets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KeyBanc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Needham &amp;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Stifel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William Blair</w:t>
      </w:r>
    </w:p>
    <w:p>
      <w:pPr>
        <w:spacing w:after="0" w:line="136" w:lineRule="exact"/>
        <w:rPr>
          <w:sz w:val="24"/>
          <w:szCs w:val="24"/>
          <w:color w:val="auto"/>
        </w:rPr>
      </w:pPr>
    </w:p>
    <w:p>
      <w:pPr>
        <w:sectPr>
          <w:pgSz w:w="11900" w:h="16838" w:orient="portrait"/>
          <w:cols w:equalWidth="0" w:num="6">
            <w:col w:w="1260" w:space="720"/>
            <w:col w:w="1380" w:space="540"/>
            <w:col w:w="1600" w:space="540"/>
            <w:col w:w="1620" w:space="720"/>
            <w:col w:w="1280" w:space="720"/>
            <w:col w:w="86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alphabetical order.</w:t>
      </w:r>
    </w:p>
    <w:p>
      <w:pPr>
        <w:sectPr>
          <w:pgSz w:w="11900" w:h="16838" w:orient="portrait"/>
          <w:cols w:equalWidth="0" w:num="1">
            <w:col w:w="11240"/>
          </w:cols>
          <w:pgMar w:left="320" w:top="225"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September 18, 2025</w:t>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wp:posOffset>
            </wp:positionV>
            <wp:extent cx="6990080" cy="9052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008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27305</wp:posOffset>
            </wp:positionV>
            <wp:extent cx="6986270" cy="905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27305</wp:posOffset>
            </wp:positionV>
            <wp:extent cx="6986270" cy="905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27305</wp:posOffset>
            </wp:positionV>
            <wp:extent cx="6986270" cy="905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905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580" w:type="dxa"/>
            <w:vAlign w:val="bottom"/>
            <w:gridSpan w:val="9"/>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9"/>
              </w:rPr>
              <w:t>FOUNDER LETTER</w:t>
            </w:r>
          </w:p>
        </w:tc>
        <w:tc>
          <w:tcPr>
            <w:tcW w:w="8780" w:type="dxa"/>
            <w:vAlign w:val="bottom"/>
            <w:gridSpan w:val="13"/>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80" w:type="dxa"/>
            <w:vAlign w:val="bottom"/>
            <w:gridSpan w:val="9"/>
            <w:vMerge w:val="continue"/>
          </w:tcPr>
          <w:p>
            <w:pPr>
              <w:spacing w:after="0"/>
              <w:rPr>
                <w:sz w:val="14"/>
                <w:szCs w:val="14"/>
                <w:color w:val="auto"/>
              </w:rPr>
            </w:pPr>
          </w:p>
        </w:tc>
        <w:tc>
          <w:tcPr>
            <w:tcW w:w="8780" w:type="dxa"/>
            <w:vAlign w:val="bottom"/>
            <w:gridSpan w:val="13"/>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7"/>
        </w:trPr>
        <w:tc>
          <w:tcPr>
            <w:tcW w:w="7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826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 w:type="dxa"/>
            <w:vAlign w:val="bottom"/>
            <w:gridSpan w:val="7"/>
          </w:tcPr>
          <w:p>
            <w:pPr>
              <w:spacing w:after="0"/>
              <w:rPr>
                <w:sz w:val="18"/>
                <w:szCs w:val="18"/>
                <w:color w:val="auto"/>
              </w:rPr>
            </w:pPr>
          </w:p>
        </w:tc>
        <w:tc>
          <w:tcPr>
            <w:tcW w:w="826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INDUSTRY AND MARKET DATA</w:t>
            </w:r>
          </w:p>
        </w:tc>
        <w:tc>
          <w:tcPr>
            <w:tcW w:w="7700" w:type="dxa"/>
            <w:vAlign w:val="bottom"/>
            <w:gridSpan w:val="9"/>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876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CAPITALIZATION</w:t>
            </w:r>
          </w:p>
        </w:tc>
        <w:tc>
          <w:tcPr>
            <w:tcW w:w="100" w:type="dxa"/>
            <w:vAlign w:val="bottom"/>
            <w:tcBorders>
              <w:top w:val="single" w:sz="8" w:color="0000FF"/>
            </w:tcBorders>
          </w:tcPr>
          <w:p>
            <w:pPr>
              <w:spacing w:after="0"/>
              <w:rPr>
                <w:sz w:val="18"/>
                <w:szCs w:val="18"/>
                <w:color w:val="auto"/>
              </w:rPr>
            </w:pPr>
          </w:p>
        </w:tc>
        <w:tc>
          <w:tcPr>
            <w:tcW w:w="8780" w:type="dxa"/>
            <w:vAlign w:val="bottom"/>
            <w:gridSpan w:val="13"/>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DILUTION</w:t>
            </w:r>
          </w:p>
        </w:tc>
        <w:tc>
          <w:tcPr>
            <w:tcW w:w="9480" w:type="dxa"/>
            <w:vAlign w:val="bottom"/>
            <w:gridSpan w:val="19"/>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500" w:type="dxa"/>
            <w:vAlign w:val="bottom"/>
            <w:gridSpan w:val="20"/>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90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PRINCIPAL AND SELLING STOCKHOLDERS</w:t>
            </w:r>
          </w:p>
        </w:tc>
        <w:tc>
          <w:tcPr>
            <w:tcW w:w="4880" w:type="dxa"/>
            <w:vAlign w:val="bottom"/>
            <w:gridSpan w:val="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20" w:type="dxa"/>
            <w:vAlign w:val="bottom"/>
            <w:gridSpan w:val="2"/>
          </w:tcPr>
          <w:p>
            <w:pPr>
              <w:spacing w:after="0"/>
              <w:rPr>
                <w:sz w:val="18"/>
                <w:szCs w:val="18"/>
                <w:color w:val="auto"/>
              </w:rPr>
            </w:pPr>
          </w:p>
        </w:tc>
        <w:tc>
          <w:tcPr>
            <w:tcW w:w="676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SERIES A COMMON STOCK</w:t>
            </w:r>
          </w:p>
        </w:tc>
        <w:tc>
          <w:tcPr>
            <w:tcW w:w="60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960" w:type="dxa"/>
            <w:vAlign w:val="bottom"/>
            <w:gridSpan w:val="10"/>
            <w:shd w:val="clear" w:color="auto" w:fill="0000FF"/>
          </w:tcPr>
          <w:p>
            <w:pPr>
              <w:spacing w:after="0" w:line="20" w:lineRule="exact"/>
              <w:rPr>
                <w:sz w:val="1"/>
                <w:szCs w:val="1"/>
                <w:color w:val="auto"/>
              </w:rPr>
            </w:pPr>
          </w:p>
        </w:tc>
        <w:tc>
          <w:tcPr>
            <w:tcW w:w="534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8360" w:type="dxa"/>
            <w:vAlign w:val="bottom"/>
            <w:gridSpan w:val="15"/>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6"/>
          </w:tcPr>
          <w:p>
            <w:pPr>
              <w:spacing w:after="0"/>
              <w:rPr>
                <w:sz w:val="18"/>
                <w:szCs w:val="18"/>
                <w:color w:val="auto"/>
              </w:rPr>
            </w:pPr>
          </w:p>
        </w:tc>
        <w:tc>
          <w:tcPr>
            <w:tcW w:w="8900" w:type="dxa"/>
            <w:vAlign w:val="bottom"/>
            <w:gridSpan w:val="15"/>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WHERE YOU CAN FIND ADDITIONAL INFORMATION</w:t>
            </w:r>
          </w:p>
        </w:tc>
        <w:tc>
          <w:tcPr>
            <w:tcW w:w="5940" w:type="dxa"/>
            <w:vAlign w:val="bottom"/>
            <w:gridSpan w:val="5"/>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179</w:t>
            </w:r>
          </w:p>
        </w:tc>
        <w:tc>
          <w:tcPr>
            <w:tcW w:w="0" w:type="dxa"/>
            <w:vAlign w:val="bottom"/>
          </w:tcPr>
          <w:p>
            <w:pPr>
              <w:spacing w:after="0"/>
              <w:rPr>
                <w:sz w:val="1"/>
                <w:szCs w:val="1"/>
                <w:color w:val="auto"/>
              </w:rPr>
            </w:pPr>
          </w:p>
        </w:tc>
      </w:tr>
      <w:tr>
        <w:trPr>
          <w:trHeight w:val="20"/>
        </w:trPr>
        <w:tc>
          <w:tcPr>
            <w:tcW w:w="4420" w:type="dxa"/>
            <w:vAlign w:val="bottom"/>
            <w:gridSpan w:val="17"/>
            <w:shd w:val="clear" w:color="auto" w:fill="0000FF"/>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7"/>
              </w:rPr>
              <w:t>INDEX TO CONSOLIDATED FINANCIAL STATEMENTS</w:t>
            </w:r>
          </w:p>
        </w:tc>
        <w:tc>
          <w:tcPr>
            <w:tcW w:w="594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5"/>
              </w:rPr>
              <w:t>F-i</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Through and including </w:t>
      </w:r>
      <w:r>
        <w:rPr>
          <w:rFonts w:ascii="Times New Roman" w:cs="Times New Roman" w:eastAsia="Times New Roman" w:hAnsi="Times New Roman"/>
          <w:sz w:val="18"/>
          <w:szCs w:val="18"/>
          <w:color w:val="auto"/>
        </w:rPr>
        <w:t>October 13</w:t>
      </w:r>
      <w:r>
        <w:rPr>
          <w:rFonts w:ascii="Times New Roman" w:cs="Times New Roman" w:eastAsia="Times New Roman" w:hAnsi="Times New Roman"/>
          <w:sz w:val="18"/>
          <w:szCs w:val="18"/>
          <w:b w:val="1"/>
          <w:bCs w:val="1"/>
          <w:color w:val="auto"/>
        </w:rPr>
        <w:t>, 2025 (the 25</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32"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make any representations other than those contained in this prospectus or in any free writing prospectus we have prepared. We, the selling stockholders and the underwriters take no responsibility for and can provide no assurance as to the reliability of, any other information that others may give you. We and the selling stockholders are offering to sell, and seeking offers to buy, shares of our Series A common stock only in jurisdictions where offers and sales are permitted. The information contained in this prospectus is accurate only as of the date of this prospectus, regardless of the time of delivery of this prospectus or of any sale of our Series A common stock. Our business, financial condition, results of operations, and prospects may have changed since that date.</w:t>
      </w:r>
    </w:p>
    <w:p>
      <w:pPr>
        <w:spacing w:after="0" w:line="13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For investors outside of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Series A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139"/>
          </w:cols>
          <w:pgMar w:left="320" w:top="117"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130175</wp:posOffset>
            </wp:positionV>
            <wp:extent cx="698627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0" w:num="1">
            <w:col w:w="10139"/>
          </w:cols>
          <w:pgMar w:left="320" w:top="1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139"/>
          </w:cols>
          <w:pgMar w:left="320" w:top="117" w:right="144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905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139"/>
          </w:cols>
          <w:pgMar w:left="320" w:top="117" w:right="144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130175</wp:posOffset>
            </wp:positionV>
            <wp:extent cx="6986270" cy="905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0" w:num="1">
            <w:col w:w="10139"/>
          </w:cols>
          <w:pgMar w:left="320" w:top="1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139"/>
          </w:cols>
          <w:pgMar w:left="320" w:top="117" w:right="14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0139"/>
          </w:cols>
          <w:pgMar w:left="320" w:top="117" w:right="14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402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left="68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Series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“Pattern,” the “Company,” “we,” “us” and “our” in this prospectus refer to Pattern Group Inc., and its consolidated subsidiaries.</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680" w:right="40"/>
        <w:spacing w:after="0" w:line="256" w:lineRule="auto"/>
        <w:rPr>
          <w:sz w:val="20"/>
          <w:szCs w:val="20"/>
          <w:color w:val="auto"/>
        </w:rPr>
      </w:pPr>
      <w:r>
        <w:rPr>
          <w:rFonts w:ascii="Times New Roman" w:cs="Times New Roman" w:eastAsia="Times New Roman" w:hAnsi="Times New Roman"/>
          <w:sz w:val="18"/>
          <w:szCs w:val="18"/>
          <w:color w:val="auto"/>
        </w:rPr>
        <w:t>At Pattern, we are on a mission to help brands accelerate profitable growth on global ecommerce marketplaces. Today, our proprietary technology and on-demand experts operate across more than 60 marketplaces to increase product sales to consumers in more than 100 countries. Utilizing more than 46 trillion data points and sophisticated machine learning and artificial intelligence (“AI”) models, we strive to optimize and automate key levers of ecommerce growth, including advertising, content creation and management, pricing, forecasting and customer service. The result is a powerful platform that allows brands to navigate the complexity of operating on global ecommerce marketplaces at scale.</w:t>
      </w:r>
    </w:p>
    <w:p>
      <w:pPr>
        <w:spacing w:after="0" w:line="1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The Ecommerce Opportunity is Massive</w:t>
      </w:r>
    </w:p>
    <w:p>
      <w:pPr>
        <w:spacing w:after="0" w:line="175" w:lineRule="exact"/>
        <w:rPr>
          <w:sz w:val="20"/>
          <w:szCs w:val="20"/>
          <w:color w:val="auto"/>
        </w:rPr>
      </w:pPr>
    </w:p>
    <w:p>
      <w:pPr>
        <w:ind w:left="680" w:right="40"/>
        <w:spacing w:after="0" w:line="222" w:lineRule="auto"/>
        <w:rPr>
          <w:sz w:val="20"/>
          <w:szCs w:val="20"/>
          <w:color w:val="auto"/>
        </w:rPr>
      </w:pPr>
      <w:r>
        <w:rPr>
          <w:rFonts w:ascii="Times New Roman" w:cs="Times New Roman" w:eastAsia="Times New Roman" w:hAnsi="Times New Roman"/>
          <w:sz w:val="18"/>
          <w:szCs w:val="18"/>
          <w:color w:val="auto"/>
        </w:rPr>
        <w:t>The approximately $4 trillion global ecommerce market is forecasted to grow at a compound annual growth rate (“CAGR”) of 9.5% from 2025 to 2029, representing more than $490 billion of annual growth.</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Consumers are increasingly shopping online and, as a result, U.S. ecommerce sales are expected to grow more than five times as fast as all other U.S. non-ecommerce sales over this span.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Not only is global ecommerce expanding, it is also becoming a larger share of retail, increasing from 10% of retail sales in 2016 to a projected 27% by 2029, with each 1% shift from brick-and-mortar to ecommerce representing over $140 billion in retail value.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Within global ecommerce, marketplaces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commanded 58% of total revenue in 2024</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in the United States, grew over 1.5 times as fast as direct-to-consumer (“D2C”) channels in 2024.</w:t>
      </w:r>
      <w:r>
        <w:rPr>
          <w:rFonts w:ascii="Times New Roman" w:cs="Times New Roman" w:eastAsia="Times New Roman" w:hAnsi="Times New Roman"/>
          <w:sz w:val="23"/>
          <w:szCs w:val="23"/>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20" w:hanging="322"/>
        <w:spacing w:after="0"/>
        <w:tabs>
          <w:tab w:leader="none" w:pos="1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pacing w:after="0" w:line="264" w:lineRule="exact"/>
        <w:rPr>
          <w:sz w:val="20"/>
          <w:szCs w:val="20"/>
          <w:color w:val="auto"/>
        </w:rPr>
      </w:pPr>
    </w:p>
    <w:p>
      <w:pPr>
        <w:ind w:left="1000" w:hanging="326"/>
        <w:spacing w:after="0"/>
        <w:tabs>
          <w:tab w:leader="none" w:pos="10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ind w:left="1000" w:hanging="326"/>
        <w:spacing w:after="0" w:line="199" w:lineRule="auto"/>
        <w:tabs>
          <w:tab w:leader="none" w:pos="10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Refers to a website or application that connects buyers and sellers to trade goods and services, including but not limited to Amazon, Alibaba, eBay, Etsy, Mercado</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i w:val="1"/>
          <w:iCs w:val="1"/>
          <w:color w:val="auto"/>
        </w:rPr>
        <w:t>Libre and Walmart.</w:t>
      </w:r>
    </w:p>
    <w:p>
      <w:pPr>
        <w:spacing w:after="0" w:line="1" w:lineRule="exact"/>
        <w:rPr>
          <w:sz w:val="20"/>
          <w:szCs w:val="20"/>
          <w:color w:val="auto"/>
        </w:rPr>
      </w:pPr>
    </w:p>
    <w:p>
      <w:pPr>
        <w:ind w:left="1000" w:hanging="326"/>
        <w:spacing w:after="0"/>
        <w:tabs>
          <w:tab w:leader="none" w:pos="100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Factset, Ecommerce Intelligence (ID # FI3435US) (Accessed on July 28, 2025).</w:t>
      </w:r>
    </w:p>
    <w:p>
      <w:pPr>
        <w:sectPr>
          <w:pgSz w:w="11900" w:h="16838" w:orient="portrait"/>
          <w:cols w:equalWidth="0" w:num="1">
            <w:col w:w="10500"/>
          </w:cols>
          <w:pgMar w:left="320" w:top="117"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500"/>
          </w:cols>
          <w:pgMar w:left="320" w:top="117" w:right="10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479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47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Ecommerce is Simple for Consumers but Complex for Brands</w:t>
      </w:r>
    </w:p>
    <w:p>
      <w:pPr>
        <w:spacing w:after="0" w:line="175" w:lineRule="exact"/>
        <w:rPr>
          <w:sz w:val="20"/>
          <w:szCs w:val="20"/>
          <w:color w:val="auto"/>
        </w:rPr>
      </w:pPr>
    </w:p>
    <w:p>
      <w:pPr>
        <w:ind w:left="680"/>
        <w:spacing w:after="0" w:line="246" w:lineRule="auto"/>
        <w:rPr>
          <w:sz w:val="20"/>
          <w:szCs w:val="20"/>
          <w:color w:val="auto"/>
        </w:rPr>
      </w:pPr>
      <w:r>
        <w:rPr>
          <w:rFonts w:ascii="Times New Roman" w:cs="Times New Roman" w:eastAsia="Times New Roman" w:hAnsi="Times New Roman"/>
          <w:sz w:val="18"/>
          <w:szCs w:val="18"/>
          <w:color w:val="auto"/>
        </w:rPr>
        <w:t>For consumers, it is increasingly easy to shop online and have products show up at their doors within days or even hours. For brands, the shift to ecommerce has created new opportunities to grow. However, in making shopping easier for consumers, much of the complexity has shifted to brands. Brick-and-mortar retailers offer finite shelf space, relatively stable pricing and more straightforward advertising and fulfillment processes. Conversely, ecommerce marketplaces leverage algorithms for product discovery and real-time pricing, offer unconstrained shelf space that dynamically updates and necessitates always-on advertising to drive product visibility. The stakes are heightened by the “winner-takes-most” nature of the ecommerce marketplace ecosystem where products on the first page get at least 80% of clicks, while the top three listings on the first page get at least 60% of clicks.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Moreover, marketplaces present complex and expensive warehousing, packaging and shipping challenges for brands to meet consumer expectations of same day or next-day delivery. Most brands lack the resources, scale and capabilities needed to grow their ecommerce business profitably on their own. As a result, they stand to benefit from a comprehensive solution.</w:t>
      </w:r>
    </w:p>
    <w:p>
      <w:pPr>
        <w:spacing w:after="0" w:line="1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Pattern is the Solution</w:t>
      </w:r>
    </w:p>
    <w:p>
      <w:pPr>
        <w:spacing w:after="0" w:line="175" w:lineRule="exact"/>
        <w:rPr>
          <w:sz w:val="20"/>
          <w:szCs w:val="20"/>
          <w:color w:val="auto"/>
        </w:rPr>
      </w:pPr>
    </w:p>
    <w:p>
      <w:pPr>
        <w:jc w:val="both"/>
        <w:ind w:left="680" w:right="80"/>
        <w:spacing w:after="0" w:line="266" w:lineRule="auto"/>
        <w:rPr>
          <w:sz w:val="20"/>
          <w:szCs w:val="20"/>
          <w:color w:val="auto"/>
        </w:rPr>
      </w:pPr>
      <w:r>
        <w:rPr>
          <w:rFonts w:ascii="Times New Roman" w:cs="Times New Roman" w:eastAsia="Times New Roman" w:hAnsi="Times New Roman"/>
          <w:sz w:val="18"/>
          <w:szCs w:val="18"/>
          <w:color w:val="auto"/>
        </w:rPr>
        <w:t>We have spent more than a decade obsessing over how to make managing ecommerce easier for consumer brands so that they can focus on what they do best: creating products that customers want to buy. Pattern’s platform sits as a thin layer between brands, marketplaces and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20" w:hanging="322"/>
        <w:spacing w:after="0"/>
        <w:tabs>
          <w:tab w:leader="none" w:pos="1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pacing w:after="0" w:line="68" w:lineRule="exact"/>
        <w:rPr>
          <w:rFonts w:ascii="Times New Roman" w:cs="Times New Roman" w:eastAsia="Times New Roman" w:hAnsi="Times New Roman"/>
          <w:sz w:val="14"/>
          <w:szCs w:val="14"/>
          <w:color w:val="auto"/>
        </w:rPr>
      </w:pPr>
    </w:p>
    <w:p>
      <w:pPr>
        <w:ind w:left="1320" w:right="80"/>
        <w:spacing w:after="0" w:line="27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diagram above shows Pattern’s position in the ecommerce landscape. Pattern is a third-party seller and works with brands to sell their products on global marketplaces to reach consumers worldwide. The flags of nations represented under “Global Consumers” represent the global marketplace of consumers generally.</w:t>
      </w:r>
    </w:p>
    <w:p>
      <w:pPr>
        <w:spacing w:after="0" w:line="132" w:lineRule="exact"/>
        <w:rPr>
          <w:sz w:val="20"/>
          <w:szCs w:val="20"/>
          <w:color w:val="auto"/>
        </w:rPr>
      </w:pPr>
    </w:p>
    <w:p>
      <w:pPr>
        <w:ind w:left="680" w:right="100"/>
        <w:spacing w:after="0" w:line="261" w:lineRule="auto"/>
        <w:rPr>
          <w:sz w:val="20"/>
          <w:szCs w:val="20"/>
          <w:color w:val="auto"/>
        </w:rPr>
      </w:pPr>
      <w:r>
        <w:rPr>
          <w:rFonts w:ascii="Times New Roman" w:cs="Times New Roman" w:eastAsia="Times New Roman" w:hAnsi="Times New Roman"/>
          <w:sz w:val="18"/>
          <w:szCs w:val="18"/>
          <w:color w:val="auto"/>
        </w:rPr>
        <w:t>Our patented technology and on-demand experts function as the “easy button” for brands as they navigate the complex ecosystem of marketplaces, regions, languages, regulatory environments, technology point-solutions and agencies. We believe that, over time, brands will have an increasingly difficult time managing all of this on their own, and Pattern will become an even more compelling solution to the complexities of scaling and accelerating within global ecommerce.</w:t>
      </w:r>
    </w:p>
    <w:p>
      <w:pPr>
        <w:spacing w:after="0" w:line="126" w:lineRule="exact"/>
        <w:rPr>
          <w:sz w:val="20"/>
          <w:szCs w:val="20"/>
          <w:color w:val="auto"/>
        </w:rPr>
      </w:pPr>
    </w:p>
    <w:p>
      <w:pPr>
        <w:ind w:left="680" w:right="340"/>
        <w:spacing w:after="0" w:line="282" w:lineRule="auto"/>
        <w:rPr>
          <w:sz w:val="20"/>
          <w:szCs w:val="20"/>
          <w:color w:val="auto"/>
        </w:rPr>
      </w:pPr>
      <w:r>
        <w:rPr>
          <w:rFonts w:ascii="Times New Roman" w:cs="Times New Roman" w:eastAsia="Times New Roman" w:hAnsi="Times New Roman"/>
          <w:sz w:val="18"/>
          <w:szCs w:val="18"/>
          <w:color w:val="auto"/>
        </w:rPr>
        <w:t>The marketplaces on which we operate benefit from both the more positive consumer experience we offer, as well as the accelerated consumer sales growth that our platform enables. Given our reputation for positive consumer</w:t>
      </w:r>
    </w:p>
    <w:p>
      <w:pPr>
        <w:spacing w:after="0" w:line="223" w:lineRule="exact"/>
        <w:rPr>
          <w:sz w:val="20"/>
          <w:szCs w:val="20"/>
          <w:color w:val="auto"/>
        </w:rPr>
      </w:pPr>
    </w:p>
    <w:p>
      <w:pPr>
        <w:ind w:left="980" w:hanging="306"/>
        <w:spacing w:after="0"/>
        <w:tabs>
          <w:tab w:leader="none" w:pos="980" w:val="left"/>
        </w:tabs>
        <w:numPr>
          <w:ilvl w:val="0"/>
          <w:numId w:val="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JungleScout, Amazon Product Ranking: How to Rank Page One on Amazon – May 2024, https://www.junglescout.com/resources/articles/amazon-product-ranking/.</w:t>
      </w:r>
    </w:p>
    <w:p>
      <w:pPr>
        <w:sectPr>
          <w:pgSz w:w="11900" w:h="16838" w:orient="portrait"/>
          <w:cols w:equalWidth="0" w:num="1">
            <w:col w:w="10540"/>
          </w:cols>
          <w:pgMar w:left="320" w:top="11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40"/>
          </w:cols>
          <w:pgMar w:left="320" w:top="117" w:right="10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265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right="180"/>
        <w:spacing w:after="0" w:line="282" w:lineRule="auto"/>
        <w:rPr>
          <w:sz w:val="20"/>
          <w:szCs w:val="20"/>
          <w:color w:val="auto"/>
        </w:rPr>
      </w:pPr>
      <w:r>
        <w:rPr>
          <w:rFonts w:ascii="Times New Roman" w:cs="Times New Roman" w:eastAsia="Times New Roman" w:hAnsi="Times New Roman"/>
          <w:sz w:val="18"/>
          <w:szCs w:val="18"/>
          <w:color w:val="auto"/>
        </w:rPr>
        <w:t>experience and breadth of product selection, we receive inbound requests from marketplaces interested in working with Pattern as they expand their third-party offerings.</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75" w:lineRule="exact"/>
        <w:rPr>
          <w:sz w:val="20"/>
          <w:szCs w:val="20"/>
          <w:color w:val="auto"/>
        </w:rPr>
      </w:pPr>
    </w:p>
    <w:p>
      <w:pPr>
        <w:ind w:left="680"/>
        <w:spacing w:after="0" w:line="245" w:lineRule="auto"/>
        <w:rPr>
          <w:sz w:val="20"/>
          <w:szCs w:val="20"/>
          <w:color w:val="auto"/>
        </w:rPr>
      </w:pPr>
      <w:r>
        <w:rPr>
          <w:rFonts w:ascii="Times New Roman" w:cs="Times New Roman" w:eastAsia="Times New Roman" w:hAnsi="Times New Roman"/>
          <w:sz w:val="18"/>
          <w:szCs w:val="18"/>
          <w:color w:val="auto"/>
        </w:rPr>
        <w:t>We believe that one of the best ways to monetize our technology and expertise is by purchasing products from our brand partners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and selling those products to consumers on global marketplaces. </w:t>
      </w:r>
      <w:r>
        <w:rPr>
          <w:rFonts w:ascii="Times New Roman" w:cs="Times New Roman" w:eastAsia="Times New Roman" w:hAnsi="Times New Roman"/>
          <w:sz w:val="18"/>
          <w:szCs w:val="18"/>
          <w:color w:val="auto"/>
          <w:highlight w:val="white"/>
        </w:rPr>
        <w:t>We generate the substantial majority of our revenue from consumer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sales on global ecommerce marketplaces. </w:t>
      </w:r>
      <w:r>
        <w:rPr>
          <w:rFonts w:ascii="Times New Roman" w:cs="Times New Roman" w:eastAsia="Times New Roman" w:hAnsi="Times New Roman"/>
          <w:sz w:val="18"/>
          <w:szCs w:val="18"/>
          <w:color w:val="auto"/>
        </w:rPr>
        <w:t>This model results in a more seamless, low-friction relationship that is familiar to our brand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partners and allows Pattern maximum control over the customer experience, including content, pricing, logistics and customer service. In our experience, this business model aligns Pattern’s and our brand partners’ incentives toward maximizing growth. Importantly, transacting directly with consumers also allows us to accumulate comprehensive marketplace data, perform real-time testing and build more powerful predictive models. As a result of the advantages of our platform and business model, our revenue growth outpaced the growth of the ecommerce segment by a multiple of 5.9x over the last four years.</w:t>
      </w:r>
    </w:p>
    <w:p>
      <w:pPr>
        <w:spacing w:after="0" w:line="1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How We Do What We Do</w:t>
      </w:r>
    </w:p>
    <w:p>
      <w:pPr>
        <w:spacing w:after="0" w:line="175" w:lineRule="exact"/>
        <w:rPr>
          <w:sz w:val="20"/>
          <w:szCs w:val="20"/>
          <w:color w:val="auto"/>
        </w:rPr>
      </w:pPr>
    </w:p>
    <w:p>
      <w:pPr>
        <w:ind w:left="680" w:right="240"/>
        <w:spacing w:after="0" w:line="266" w:lineRule="auto"/>
        <w:rPr>
          <w:sz w:val="20"/>
          <w:szCs w:val="20"/>
          <w:color w:val="auto"/>
        </w:rPr>
      </w:pPr>
      <w:r>
        <w:rPr>
          <w:rFonts w:ascii="Times New Roman" w:cs="Times New Roman" w:eastAsia="Times New Roman" w:hAnsi="Times New Roman"/>
          <w:sz w:val="18"/>
          <w:szCs w:val="18"/>
          <w:color w:val="auto"/>
        </w:rPr>
        <w:t>As the pioneer of ecommerce acceleration, Pattern defines what it means to be an ecommerce accelerator: a platform that combines proprietary technology and on-demand expertise. Given the complexities that consumer brands face in scaling and accelerating global ecommerce, we have organized our platform around a simple and intuitive formula, which we call the ecommerce equation: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0" w:right="80"/>
        <w:spacing w:after="0" w:line="258" w:lineRule="auto"/>
        <w:rPr>
          <w:sz w:val="20"/>
          <w:szCs w:val="20"/>
          <w:color w:val="auto"/>
        </w:rPr>
      </w:pPr>
      <w:r>
        <w:rPr>
          <w:rFonts w:ascii="Times New Roman" w:cs="Times New Roman" w:eastAsia="Times New Roman" w:hAnsi="Times New Roman"/>
          <w:sz w:val="18"/>
          <w:szCs w:val="18"/>
          <w:color w:val="auto"/>
        </w:rPr>
        <w:t>We have built a powerful ecommerce acceleration platform (“EXP,” or “our technology”) which is powered by AI and machine learning to execute thousands of optimizations daily and drive this equation across tens of thousands of products on marketplaces around the world. These optimizations include automated adjustments and recommendations powered by a massive flow of ecommerce data. We have gathered more than 46 trillion data points to date comprised of keyword, shipping, advertising, sales, market share, click, social, conversion, customer service and other data, a figure which grows by more than 100 billion data points each week on average.</w:t>
      </w:r>
    </w:p>
    <w:p>
      <w:pPr>
        <w:spacing w:after="0" w:line="129" w:lineRule="exact"/>
        <w:rPr>
          <w:sz w:val="20"/>
          <w:szCs w:val="20"/>
          <w:color w:val="auto"/>
        </w:rPr>
      </w:pPr>
    </w:p>
    <w:p>
      <w:pPr>
        <w:ind w:left="680" w:right="160"/>
        <w:spacing w:after="0" w:line="261" w:lineRule="auto"/>
        <w:rPr>
          <w:sz w:val="20"/>
          <w:szCs w:val="20"/>
          <w:color w:val="auto"/>
        </w:rPr>
      </w:pPr>
      <w:r>
        <w:rPr>
          <w:rFonts w:ascii="Times New Roman" w:cs="Times New Roman" w:eastAsia="Times New Roman" w:hAnsi="Times New Roman"/>
          <w:sz w:val="18"/>
          <w:szCs w:val="18"/>
          <w:color w:val="auto"/>
        </w:rPr>
        <w:t>Today, our software, with a combined total of 29 issued patents and patents pending, is supported by approximately 400 software engineers, data scientists and other technology professionals who are dedicated to enhancing and innovating upon our technology to further increase our capabilities. We believe our data and technology provide a competitive advantage and will continue to differentiate our platform from alternative solutions.</w:t>
      </w:r>
    </w:p>
    <w:p>
      <w:pPr>
        <w:spacing w:after="0" w:line="126" w:lineRule="exact"/>
        <w:rPr>
          <w:sz w:val="20"/>
          <w:szCs w:val="20"/>
          <w:color w:val="auto"/>
        </w:rPr>
      </w:pPr>
    </w:p>
    <w:p>
      <w:pPr>
        <w:ind w:left="680" w:right="40"/>
        <w:spacing w:after="0" w:line="254" w:lineRule="auto"/>
        <w:rPr>
          <w:sz w:val="20"/>
          <w:szCs w:val="20"/>
          <w:color w:val="auto"/>
        </w:rPr>
      </w:pPr>
      <w:r>
        <w:rPr>
          <w:rFonts w:ascii="Times New Roman" w:cs="Times New Roman" w:eastAsia="Times New Roman" w:hAnsi="Times New Roman"/>
          <w:sz w:val="18"/>
          <w:szCs w:val="18"/>
          <w:color w:val="auto"/>
        </w:rPr>
        <w:t>We believe ecommerce complexity cannot currently be solved without the right combination of sophisticated technology and on-demand expertise, and that it is unlikely to be solved in the near future by technology alone. We have a team that offers differentiated, comprehensive, on-demand expertise and capabilities across marketplace management, marketing, fulfillment and brand protection on a global basis. Our brand partners trust our industry experts with everything from day-to-day ad campaign management and creative execution to strategic decisions, such as what product categories have the most potential or which global markets to enter. Our operational experts also help brand partners access our worldwide fulfillment network, utilizing our proprietary Warehouse Management System (“WMS”) to deliver efficient and scalable volume to marketplaces and, in some cases, directly to consumers across the globe. Leveraging our technology, our in-house industry experts deliver data-driven outcomes efficiently across all aspects of the ecommerce equation. Today, we sell tens of thousands of products</w:t>
      </w:r>
    </w:p>
    <w:p>
      <w:pPr>
        <w:spacing w:after="0" w:line="250" w:lineRule="exact"/>
        <w:rPr>
          <w:sz w:val="20"/>
          <w:szCs w:val="20"/>
          <w:color w:val="auto"/>
        </w:rPr>
      </w:pPr>
    </w:p>
    <w:p>
      <w:pPr>
        <w:ind w:left="1000" w:hanging="326"/>
        <w:spacing w:after="0"/>
        <w:tabs>
          <w:tab w:leader="none" w:pos="100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We define brand partners as the consumer packaged goods companies with whom we contract.</w:t>
      </w:r>
    </w:p>
    <w:p>
      <w:pPr>
        <w:sectPr>
          <w:pgSz w:w="11900" w:h="16838" w:orient="portrait"/>
          <w:cols w:equalWidth="0" w:num="1">
            <w:col w:w="10560"/>
          </w:cols>
          <w:pgMar w:left="3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60"/>
          </w:cols>
          <w:pgMar w:left="320" w:top="117"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162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right="140"/>
        <w:spacing w:after="0" w:line="266" w:lineRule="auto"/>
        <w:rPr>
          <w:sz w:val="20"/>
          <w:szCs w:val="20"/>
          <w:color w:val="auto"/>
        </w:rPr>
      </w:pPr>
      <w:r>
        <w:rPr>
          <w:rFonts w:ascii="Times New Roman" w:cs="Times New Roman" w:eastAsia="Times New Roman" w:hAnsi="Times New Roman"/>
          <w:sz w:val="18"/>
          <w:szCs w:val="18"/>
          <w:color w:val="auto"/>
        </w:rPr>
        <w:t>from more than 200 brands across different industries and geographies including the Americas, Europe, Australia and Asia. Our current brand partners’ industry presence includes health and wellness, beauty and personal care, home and lifestyle, pet, sports and outdoors and consumer electronics.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Results</w:t>
      </w:r>
    </w:p>
    <w:p>
      <w:pPr>
        <w:spacing w:after="0" w:line="175" w:lineRule="exact"/>
        <w:rPr>
          <w:sz w:val="20"/>
          <w:szCs w:val="20"/>
          <w:color w:val="auto"/>
        </w:rPr>
      </w:pPr>
    </w:p>
    <w:p>
      <w:pPr>
        <w:ind w:left="680" w:right="80"/>
        <w:spacing w:after="0" w:line="255" w:lineRule="auto"/>
        <w:rPr>
          <w:sz w:val="20"/>
          <w:szCs w:val="20"/>
          <w:color w:val="auto"/>
        </w:rPr>
      </w:pPr>
      <w:r>
        <w:rPr>
          <w:rFonts w:ascii="Times New Roman" w:cs="Times New Roman" w:eastAsia="Times New Roman" w:hAnsi="Times New Roman"/>
          <w:sz w:val="18"/>
          <w:szCs w:val="18"/>
          <w:color w:val="auto"/>
        </w:rPr>
        <w:t>We have developed and maintained, and continue to develop and maintain, strong and long-lasting brand partner relationships. For the year ended December 31, 2024, approximately 87% of our revenue was attributable to brand partners that have been with Pattern for more than twelve months, whom we refer to as existing brand partners. More than 48% of our revenue was attributable to brand partners that have been with Pattern for more than five years. For the year ended December 31, 2024, our Net Revenue Retention Rate (“NRR”), which measures revenue attributable to existing brand partners across comparable periods, was 116%. See the section titled “Management’s Discussion and Analysis of Financial Condition and Results of Operations—Key Business Metric and Non-GAAP Financial Measure” for information on how we define and calculate NRR.</w:t>
      </w:r>
    </w:p>
    <w:p>
      <w:pPr>
        <w:spacing w:after="0" w:line="135" w:lineRule="exact"/>
        <w:rPr>
          <w:sz w:val="20"/>
          <w:szCs w:val="20"/>
          <w:color w:val="auto"/>
        </w:rPr>
      </w:pPr>
    </w:p>
    <w:p>
      <w:pPr>
        <w:ind w:left="680"/>
        <w:spacing w:after="0" w:line="255" w:lineRule="auto"/>
        <w:rPr>
          <w:sz w:val="20"/>
          <w:szCs w:val="20"/>
          <w:color w:val="auto"/>
        </w:rPr>
      </w:pPr>
      <w:r>
        <w:rPr>
          <w:rFonts w:ascii="Times New Roman" w:cs="Times New Roman" w:eastAsia="Times New Roman" w:hAnsi="Times New Roman"/>
          <w:sz w:val="18"/>
          <w:szCs w:val="18"/>
          <w:color w:val="auto"/>
        </w:rPr>
        <w:t>We believe that we benefit from a powerful flywheel effect supporting our growth at scale: the more data we collect, the more accurate our insights become and the faster we accelerate brand partners. As our brand partners grow and we attract new brand partners, the more efficient our operations become and the more we can invest in technology. We use our technology and data advantage to identify high-potential new brand partners and leverage a targeted, efficient go-to market approach to bring them onto our platform, further fueling our flywheel. At the same time, our average cost to serve our brand partners globally as a percentage of revenue has decreased over the past three years. As we continue to scale, we expect continued improvement, and we plan to share these savings with our brand partners while we continue to invest in our platform.</w:t>
      </w:r>
    </w:p>
    <w:p>
      <w:pPr>
        <w:spacing w:after="0" w:line="135" w:lineRule="exact"/>
        <w:rPr>
          <w:sz w:val="20"/>
          <w:szCs w:val="20"/>
          <w:color w:val="auto"/>
        </w:rPr>
      </w:pPr>
    </w:p>
    <w:p>
      <w:pPr>
        <w:ind w:left="680" w:right="32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we generated revenue of $1,796 million, which represents a CAGR of 35% over the last two years. During the same period, our net income increased $71 million from ($3) million to $68 million. Our Adjusted EBITDA during 2024 was $101 million, which represents a CAGR of 138% over the last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80" w:right="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we generated revenue of $1,139 million, representing a 35% increase from $841 million for the six months ended June 30, 2024. During the same period, our net income increased 31%, from $35 million to $47 million, and our Adjusted EBITDA increased 33%, from $52 million to $69 million.</w:t>
      </w:r>
    </w:p>
    <w:p>
      <w:pPr>
        <w:spacing w:after="0" w:line="122" w:lineRule="exact"/>
        <w:rPr>
          <w:sz w:val="20"/>
          <w:szCs w:val="20"/>
          <w:color w:val="auto"/>
        </w:rPr>
      </w:pPr>
    </w:p>
    <w:p>
      <w:pPr>
        <w:ind w:left="680" w:right="140"/>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For additional information about our non-GAAP financial measure, including reconciliations of the non-GAAP financial measure to the most directly comparable financial measure stated in accordance with GAAP, see the section titled below “Management’s Discussion and Analysis of Financial Condition and Results of Operations—Key Business Metric and Non-GAAP Financial Measure.”</w:t>
      </w:r>
    </w:p>
    <w:p>
      <w:pPr>
        <w:sectPr>
          <w:pgSz w:w="11900" w:h="16838" w:orient="portrait"/>
          <w:cols w:equalWidth="0" w:num="1">
            <w:col w:w="10580"/>
          </w:cols>
          <w:pgMar w:left="32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80"/>
          </w:cols>
          <w:pgMar w:left="320" w:top="117"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4855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485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Challenges that Brands Experience</w:t>
      </w:r>
    </w:p>
    <w:p>
      <w:pPr>
        <w:spacing w:after="0" w:line="175" w:lineRule="exact"/>
        <w:rPr>
          <w:sz w:val="20"/>
          <w:szCs w:val="20"/>
          <w:color w:val="auto"/>
        </w:rPr>
      </w:pPr>
    </w:p>
    <w:p>
      <w:pPr>
        <w:ind w:left="680"/>
        <w:spacing w:after="0" w:line="266" w:lineRule="auto"/>
        <w:rPr>
          <w:sz w:val="20"/>
          <w:szCs w:val="20"/>
          <w:color w:val="auto"/>
        </w:rPr>
      </w:pPr>
      <w:r>
        <w:rPr>
          <w:rFonts w:ascii="Times New Roman" w:cs="Times New Roman" w:eastAsia="Times New Roman" w:hAnsi="Times New Roman"/>
          <w:sz w:val="18"/>
          <w:szCs w:val="18"/>
          <w:color w:val="auto"/>
        </w:rPr>
        <w:t>Effectively selling across global marketplaces is extremely complex and requires brands to master an array of variables, including traffic generation, demand capture, content optimization, brand consistency, inventory management, marketplace compliance, shipping logistics, post-purchase engagement and international expansion.</w:t>
      </w:r>
    </w:p>
    <w:p>
      <w:pPr>
        <w:spacing w:after="0" w:line="122" w:lineRule="exact"/>
        <w:rPr>
          <w:sz w:val="20"/>
          <w:szCs w:val="20"/>
          <w:color w:val="auto"/>
        </w:rPr>
      </w:pPr>
    </w:p>
    <w:p>
      <w:pPr>
        <w:ind w:left="680" w:right="20"/>
        <w:spacing w:after="0" w:line="235" w:lineRule="auto"/>
        <w:rPr>
          <w:sz w:val="20"/>
          <w:szCs w:val="20"/>
          <w:color w:val="auto"/>
        </w:rPr>
      </w:pPr>
      <w:r>
        <w:rPr>
          <w:rFonts w:ascii="Times New Roman" w:cs="Times New Roman" w:eastAsia="Times New Roman" w:hAnsi="Times New Roman"/>
          <w:sz w:val="18"/>
          <w:szCs w:val="18"/>
          <w:color w:val="auto"/>
        </w:rPr>
        <w:t>At Pattern, we believe it is virtually impossible for brands to optimize each variable by themselves. These complexities apply regardless of business model – whether they utilize 3P</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or 1P</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selling strategies, brands are required to list and market their own products on the marketplace while considering pricing and inventory levels.</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With these complexities and opaque marketplace requirements, brands are presented with five key challenges:</w:t>
      </w:r>
    </w:p>
    <w:p>
      <w:pPr>
        <w:spacing w:after="0" w:line="167" w:lineRule="exact"/>
        <w:rPr>
          <w:sz w:val="20"/>
          <w:szCs w:val="20"/>
          <w:color w:val="auto"/>
        </w:rPr>
      </w:pPr>
    </w:p>
    <w:p>
      <w:pPr>
        <w:ind w:left="1320" w:right="60" w:hanging="322"/>
        <w:spacing w:after="0" w:line="28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Challenge #1: Growing profitably. </w:t>
      </w:r>
      <w:r>
        <w:rPr>
          <w:rFonts w:ascii="Times New Roman" w:cs="Times New Roman" w:eastAsia="Times New Roman" w:hAnsi="Times New Roman"/>
          <w:sz w:val="18"/>
          <w:szCs w:val="18"/>
          <w:color w:val="auto"/>
        </w:rPr>
        <w:t>Achieving profitable growth online is a significant challenge for many brands, despite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expanding opportunities in ecommerce.</w:t>
      </w:r>
    </w:p>
    <w:p>
      <w:pPr>
        <w:spacing w:after="0" w:line="100" w:lineRule="exact"/>
        <w:rPr>
          <w:rFonts w:ascii="Times New Roman" w:cs="Times New Roman" w:eastAsia="Times New Roman" w:hAnsi="Times New Roman"/>
          <w:sz w:val="18"/>
          <w:szCs w:val="18"/>
          <w:color w:val="auto"/>
        </w:rPr>
      </w:pPr>
    </w:p>
    <w:p>
      <w:pPr>
        <w:ind w:left="1320" w:right="600" w:hanging="322"/>
        <w:spacing w:after="0" w:line="26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Challenge #2: Lack of technology. </w:t>
      </w:r>
      <w:r>
        <w:rPr>
          <w:rFonts w:ascii="Times New Roman" w:cs="Times New Roman" w:eastAsia="Times New Roman" w:hAnsi="Times New Roman"/>
          <w:sz w:val="18"/>
          <w:szCs w:val="18"/>
          <w:color w:val="auto"/>
        </w:rPr>
        <w:t>Many brands do not have integrated technology capabilities. Using a patchwork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can make it difficult for brands to come up with coherent strategies and coordinated execution, leading to inefficiencies and inconsistencies.</w:t>
      </w:r>
    </w:p>
    <w:p>
      <w:pPr>
        <w:spacing w:after="0" w:line="116" w:lineRule="exact"/>
        <w:rPr>
          <w:rFonts w:ascii="Times New Roman" w:cs="Times New Roman" w:eastAsia="Times New Roman" w:hAnsi="Times New Roman"/>
          <w:sz w:val="18"/>
          <w:szCs w:val="18"/>
          <w:color w:val="auto"/>
        </w:rPr>
      </w:pPr>
    </w:p>
    <w:p>
      <w:pPr>
        <w:ind w:left="1320" w:right="40" w:hanging="322"/>
        <w:spacing w:after="0" w:line="26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Challenge #3: Lack of access to high quality and comprehensive data. </w:t>
      </w:r>
      <w:r>
        <w:rPr>
          <w:rFonts w:ascii="Times New Roman" w:cs="Times New Roman" w:eastAsia="Times New Roman" w:hAnsi="Times New Roman"/>
          <w:sz w:val="18"/>
          <w:szCs w:val="18"/>
          <w:color w:val="auto"/>
        </w:rPr>
        <w:t>Brands often face significant challenges in capturing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 quality and comprehensive ecommerce data, which can limit their ability to optimize strategies, improve customer experiences and drive growth.</w:t>
      </w:r>
    </w:p>
    <w:p>
      <w:pPr>
        <w:spacing w:after="0" w:line="116" w:lineRule="exact"/>
        <w:rPr>
          <w:rFonts w:ascii="Times New Roman" w:cs="Times New Roman" w:eastAsia="Times New Roman" w:hAnsi="Times New Roman"/>
          <w:sz w:val="18"/>
          <w:szCs w:val="18"/>
          <w:color w:val="auto"/>
        </w:rPr>
      </w:pPr>
    </w:p>
    <w:p>
      <w:pPr>
        <w:jc w:val="both"/>
        <w:ind w:left="1320" w:right="60" w:hanging="322"/>
        <w:spacing w:after="0" w:line="26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Challenge #4: Lack of expertise. </w:t>
      </w:r>
      <w:r>
        <w:rPr>
          <w:rFonts w:ascii="Times New Roman" w:cs="Times New Roman" w:eastAsia="Times New Roman" w:hAnsi="Times New Roman"/>
          <w:sz w:val="18"/>
          <w:szCs w:val="18"/>
          <w:color w:val="auto"/>
        </w:rPr>
        <w:t>Hiring a team that understands the complex ecommerce landscape is extremely difficult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expensive. Without dedicated teams to help integrate the necessary solutions, the technology alone is unlikely to translate into growth and operational efficiency.</w:t>
      </w:r>
    </w:p>
    <w:p>
      <w:pPr>
        <w:spacing w:after="0" w:line="116" w:lineRule="exact"/>
        <w:rPr>
          <w:rFonts w:ascii="Times New Roman" w:cs="Times New Roman" w:eastAsia="Times New Roman" w:hAnsi="Times New Roman"/>
          <w:sz w:val="18"/>
          <w:szCs w:val="18"/>
          <w:color w:val="auto"/>
        </w:rPr>
      </w:pPr>
    </w:p>
    <w:p>
      <w:pPr>
        <w:ind w:left="1320" w:right="80" w:hanging="322"/>
        <w:spacing w:after="0" w:line="28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Challenge #5: Retaining brand value throughout the consumer experience. </w:t>
      </w:r>
      <w:r>
        <w:rPr>
          <w:rFonts w:ascii="Times New Roman" w:cs="Times New Roman" w:eastAsia="Times New Roman" w:hAnsi="Times New Roman"/>
          <w:sz w:val="18"/>
          <w:szCs w:val="18"/>
          <w:color w:val="auto"/>
        </w:rPr>
        <w:t>It is difficult for brands to position themselves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across different marketplaces.</w:t>
      </w:r>
    </w:p>
    <w:p>
      <w:pPr>
        <w:spacing w:after="0" w:line="195" w:lineRule="exact"/>
        <w:rPr>
          <w:sz w:val="20"/>
          <w:szCs w:val="20"/>
          <w:color w:val="auto"/>
        </w:rPr>
      </w:pPr>
    </w:p>
    <w:p>
      <w:pPr>
        <w:ind w:left="1000" w:hanging="326"/>
        <w:spacing w:after="0"/>
        <w:tabs>
          <w:tab w:leader="none" w:pos="10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Third party selling (“3P”) is a business model where an online retailer allows independent vendors to sell their products and services on their platform.</w:t>
      </w:r>
    </w:p>
    <w:p>
      <w:pPr>
        <w:ind w:left="1000" w:right="140" w:hanging="326"/>
        <w:spacing w:after="0" w:line="278" w:lineRule="auto"/>
        <w:tabs>
          <w:tab w:leader="none" w:pos="101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First-party selling (“1P”) is a business model where a brand sells its products wholesale to a retailer (such as an ecommerce marketplace), that then sells them to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320" w:top="117" w:right="10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496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9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left="680" w:right="20"/>
        <w:spacing w:after="0" w:line="266" w:lineRule="auto"/>
        <w:rPr>
          <w:sz w:val="20"/>
          <w:szCs w:val="20"/>
          <w:color w:val="auto"/>
        </w:rPr>
      </w:pPr>
      <w:r>
        <w:rPr>
          <w:rFonts w:ascii="Times New Roman" w:cs="Times New Roman" w:eastAsia="Times New Roman" w:hAnsi="Times New Roman"/>
          <w:sz w:val="18"/>
          <w:szCs w:val="18"/>
          <w:color w:val="auto"/>
        </w:rPr>
        <w:t>Our platform is a combination of our proprietary technology and our on-demand expertise, both of which sit upon our differentiated data set. Our software and global team of industry experts optimize traffic, conversion, price and availability to drive profitable growth for our brand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right="100"/>
        <w:spacing w:after="0" w:line="267" w:lineRule="auto"/>
        <w:rPr>
          <w:sz w:val="20"/>
          <w:szCs w:val="20"/>
          <w:color w:val="auto"/>
        </w:rPr>
      </w:pPr>
      <w:r>
        <w:rPr>
          <w:rFonts w:ascii="Times New Roman" w:cs="Times New Roman" w:eastAsia="Times New Roman" w:hAnsi="Times New Roman"/>
          <w:sz w:val="14"/>
          <w:szCs w:val="14"/>
          <w:i w:val="1"/>
          <w:iCs w:val="1"/>
          <w:color w:val="auto"/>
        </w:rPr>
        <w:t>The diagram above illustrates the key components of our platform and the subparts that form a multi-faceted ecommerce acceleration value proposition. Our technology stack is illustrated on the right side of the diagram. Users start their journey by logging into the EXP, where they gain access to a myriad of data-driven insights at both the brand and product levels. They can choose from four execution engines (Traffic, Conversion, Price and Availability), each offering various modules to take action to optimize marketplace performance. These optimizations are informed by our proprietary data set, which is analyzed and transformed into actionable insights through our AI computational layer. Additional details of each layer within our platform are depicted on the left side of the diagram.</w:t>
      </w:r>
    </w:p>
    <w:p>
      <w:pPr>
        <w:spacing w:after="0" w:line="1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75" w:lineRule="exact"/>
        <w:rPr>
          <w:sz w:val="20"/>
          <w:szCs w:val="20"/>
          <w:color w:val="auto"/>
        </w:rPr>
      </w:pPr>
    </w:p>
    <w:p>
      <w:pPr>
        <w:ind w:left="680" w:right="20"/>
        <w:spacing w:after="0" w:line="261" w:lineRule="auto"/>
        <w:rPr>
          <w:sz w:val="20"/>
          <w:szCs w:val="20"/>
          <w:color w:val="auto"/>
        </w:rPr>
      </w:pPr>
      <w:r>
        <w:rPr>
          <w:rFonts w:ascii="Times New Roman" w:cs="Times New Roman" w:eastAsia="Times New Roman" w:hAnsi="Times New Roman"/>
          <w:sz w:val="18"/>
          <w:szCs w:val="18"/>
          <w:color w:val="auto"/>
        </w:rPr>
        <w:t>Pattern’s EXP is powered by a massive proprietary data set consisting of more than 46 trillion data points. This data set informs our machine learning algorithms and large language models (“LLMs”) that we employ in our technology. We believe this data set provides a competitive moat that deepens over time as large quantities of data are collected, further differentiating our platform from alternative solutions.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EXP Data Layer</w:t>
      </w:r>
    </w:p>
    <w:p>
      <w:pPr>
        <w:spacing w:after="0" w:line="175" w:lineRule="exact"/>
        <w:rPr>
          <w:sz w:val="20"/>
          <w:szCs w:val="20"/>
          <w:color w:val="auto"/>
        </w:rPr>
      </w:pPr>
    </w:p>
    <w:p>
      <w:pPr>
        <w:ind w:left="680" w:right="180"/>
        <w:spacing w:after="0" w:line="261" w:lineRule="auto"/>
        <w:rPr>
          <w:sz w:val="20"/>
          <w:szCs w:val="20"/>
          <w:color w:val="auto"/>
        </w:rPr>
      </w:pPr>
      <w:r>
        <w:rPr>
          <w:rFonts w:ascii="Times New Roman" w:cs="Times New Roman" w:eastAsia="Times New Roman" w:hAnsi="Times New Roman"/>
          <w:sz w:val="18"/>
          <w:szCs w:val="18"/>
          <w:color w:val="auto"/>
        </w:rPr>
        <w:t>The backbone of Pattern’s EXP is formed from its robust and extensive data layer. This layer acts as the central nervous system of the platform, with data points on everything from keyword data to fulfillment rates to market share that are leveraged to inform the rest of the platform’s functions. This backbone not only draws on our existing 46 trillion data points, but also collects, stores and structures more than 100 billion new data points each week on average.</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w:t>
      </w:r>
    </w:p>
    <w:p>
      <w:pPr>
        <w:spacing w:after="0" w:line="175" w:lineRule="exact"/>
        <w:rPr>
          <w:sz w:val="20"/>
          <w:szCs w:val="20"/>
          <w:color w:val="auto"/>
        </w:rPr>
      </w:pPr>
    </w:p>
    <w:p>
      <w:pPr>
        <w:ind w:left="680"/>
        <w:spacing w:after="0" w:line="266" w:lineRule="auto"/>
        <w:rPr>
          <w:sz w:val="20"/>
          <w:szCs w:val="20"/>
          <w:color w:val="auto"/>
        </w:rPr>
      </w:pPr>
      <w:r>
        <w:rPr>
          <w:rFonts w:ascii="Times New Roman" w:cs="Times New Roman" w:eastAsia="Times New Roman" w:hAnsi="Times New Roman"/>
          <w:sz w:val="18"/>
          <w:szCs w:val="18"/>
          <w:color w:val="auto"/>
        </w:rPr>
        <w:t>The EXP data layer also includes the various machine learning, natural language processing engines and LLMs that train on our wide set of proprietary data. These AI models analyze billions of data points and produce valuable computations, which are then utilized by the rest of the platform. See the section titled “Business—Our Technology—Artificial Intelligence.”</w:t>
      </w:r>
    </w:p>
    <w:p>
      <w:pPr>
        <w:sectPr>
          <w:pgSz w:w="11900" w:h="16838" w:orient="portrait"/>
          <w:cols w:equalWidth="0" w:num="1">
            <w:col w:w="10520"/>
          </w:cols>
          <w:pgMar w:left="320" w:top="11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520"/>
          </w:cols>
          <w:pgMar w:left="320" w:top="117" w:right="10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470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Insights Engine</w:t>
      </w:r>
    </w:p>
    <w:p>
      <w:pPr>
        <w:spacing w:after="0" w:line="175" w:lineRule="exact"/>
        <w:rPr>
          <w:sz w:val="20"/>
          <w:szCs w:val="20"/>
          <w:color w:val="auto"/>
        </w:rPr>
      </w:pPr>
    </w:p>
    <w:p>
      <w:pPr>
        <w:ind w:left="680" w:right="80"/>
        <w:spacing w:after="0" w:line="258" w:lineRule="auto"/>
        <w:rPr>
          <w:sz w:val="20"/>
          <w:szCs w:val="20"/>
          <w:color w:val="auto"/>
        </w:rPr>
      </w:pPr>
      <w:r>
        <w:rPr>
          <w:rFonts w:ascii="Times New Roman" w:cs="Times New Roman" w:eastAsia="Times New Roman" w:hAnsi="Times New Roman"/>
          <w:sz w:val="18"/>
          <w:szCs w:val="18"/>
          <w:color w:val="auto"/>
        </w:rPr>
        <w:t>The Pattern Insights Engine is the analytical brain of EXP. The Insights Engine compiles the AI-driven computations from the EXP data layer and continuously aggregates them into performance dashboards, scorecards, filter-ready reporting and ongoing notifications. The Insights Engine sits across the execution engines extending to every module of the EXP. This provides up-to-the-minute reporting and signals on hundreds of key processes and metrics, including payments to social influencers, impressions on listings, syndication failure rates for content being pushed to marketplaces, customer lifetime value and much more.</w:t>
      </w:r>
    </w:p>
    <w:p>
      <w:pPr>
        <w:spacing w:after="0" w:line="129" w:lineRule="exact"/>
        <w:rPr>
          <w:sz w:val="20"/>
          <w:szCs w:val="20"/>
          <w:color w:val="auto"/>
        </w:rPr>
      </w:pPr>
    </w:p>
    <w:p>
      <w:pPr>
        <w:ind w:left="680" w:right="1000"/>
        <w:spacing w:after="0" w:line="282" w:lineRule="auto"/>
        <w:rPr>
          <w:sz w:val="20"/>
          <w:szCs w:val="20"/>
          <w:color w:val="auto"/>
        </w:rPr>
      </w:pPr>
      <w:r>
        <w:rPr>
          <w:rFonts w:ascii="Times New Roman" w:cs="Times New Roman" w:eastAsia="Times New Roman" w:hAnsi="Times New Roman"/>
          <w:sz w:val="18"/>
          <w:szCs w:val="18"/>
          <w:color w:val="auto"/>
        </w:rPr>
        <w:t>The Insights Engine is leveraged by Pattern experts and brand partners alike to keep a pulse on important trends, issues and opportunities.</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Traffic Engine</w:t>
      </w:r>
    </w:p>
    <w:p>
      <w:pPr>
        <w:spacing w:after="0" w:line="175" w:lineRule="exact"/>
        <w:rPr>
          <w:sz w:val="20"/>
          <w:szCs w:val="20"/>
          <w:color w:val="auto"/>
        </w:rPr>
      </w:pPr>
    </w:p>
    <w:p>
      <w:pPr>
        <w:ind w:left="680"/>
        <w:spacing w:after="0" w:line="255" w:lineRule="auto"/>
        <w:rPr>
          <w:sz w:val="20"/>
          <w:szCs w:val="20"/>
          <w:color w:val="auto"/>
        </w:rPr>
      </w:pPr>
      <w:r>
        <w:rPr>
          <w:rFonts w:ascii="Times New Roman" w:cs="Times New Roman" w:eastAsia="Times New Roman" w:hAnsi="Times New Roman"/>
          <w:sz w:val="18"/>
          <w:szCs w:val="18"/>
          <w:color w:val="auto"/>
        </w:rPr>
        <w:t>The Pattern EXP Traffic Engine is the execution arm for all activity related to driving digital traffic (i.e., consumer eyeballs) to brands and product listings around the world. One of the highlights of this engine is a patented keyword recommendation module we call Destiny. The goal of Destiny is to increase organic (i.e., non-paid) traffic to a given listing by using machine learning and proprietary data to recommend keywords and keyword phrases on which said listing has mathematical propensity to win better placement. The Pattern EXP Traffic Engine includes many other important modules, which enable recruiting, managing, paying and communicating with social media creators, managing advertising and influencer campaigns on marketplaces and social networks and managing/optimizing advertising spend across every aspect of the demand funnel, to name a few.</w:t>
      </w:r>
    </w:p>
    <w:p>
      <w:pPr>
        <w:spacing w:after="0" w:line="1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Conversion Engine</w:t>
      </w:r>
    </w:p>
    <w:p>
      <w:pPr>
        <w:spacing w:after="0" w:line="175" w:lineRule="exact"/>
        <w:rPr>
          <w:sz w:val="20"/>
          <w:szCs w:val="20"/>
          <w:color w:val="auto"/>
        </w:rPr>
      </w:pPr>
    </w:p>
    <w:p>
      <w:pPr>
        <w:ind w:left="680" w:right="40"/>
        <w:spacing w:after="0" w:line="255" w:lineRule="auto"/>
        <w:rPr>
          <w:sz w:val="20"/>
          <w:szCs w:val="20"/>
          <w:color w:val="auto"/>
        </w:rPr>
      </w:pPr>
      <w:r>
        <w:rPr>
          <w:rFonts w:ascii="Times New Roman" w:cs="Times New Roman" w:eastAsia="Times New Roman" w:hAnsi="Times New Roman"/>
          <w:sz w:val="18"/>
          <w:szCs w:val="18"/>
          <w:color w:val="auto"/>
        </w:rPr>
        <w:t>The Pattern EXP Conversion Engine is the execution arm for all efforts aimed at improving the efficacy and conversion rate of a brand’s content and listings across dozens of ecommerce and social media platforms, which may include everything from product detail page titles and bullets to product photography, videos, user-generated content and other microsites, landing pages and advertisements. In addition to granular reporting on page views, click share, orders, category ranking and reviews for any given product, the Conversion Engine leverages our data, LLMs and transformer-based neural networks to provide competitive insights comparisons to the digital shelf and make sophisticated content recommendations. This provides actionable value in three primary areas: content management, content optimization and content creation.</w:t>
      </w:r>
    </w:p>
    <w:p>
      <w:pPr>
        <w:spacing w:after="0" w:line="1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Price Engine</w:t>
      </w:r>
    </w:p>
    <w:p>
      <w:pPr>
        <w:spacing w:after="0" w:line="175" w:lineRule="exact"/>
        <w:rPr>
          <w:sz w:val="20"/>
          <w:szCs w:val="20"/>
          <w:color w:val="auto"/>
        </w:rPr>
      </w:pPr>
    </w:p>
    <w:p>
      <w:pPr>
        <w:jc w:val="both"/>
        <w:ind w:left="680" w:right="280"/>
        <w:spacing w:after="0" w:line="261" w:lineRule="auto"/>
        <w:rPr>
          <w:sz w:val="20"/>
          <w:szCs w:val="20"/>
          <w:color w:val="auto"/>
        </w:rPr>
      </w:pPr>
      <w:r>
        <w:rPr>
          <w:rFonts w:ascii="Times New Roman" w:cs="Times New Roman" w:eastAsia="Times New Roman" w:hAnsi="Times New Roman"/>
          <w:sz w:val="18"/>
          <w:szCs w:val="18"/>
          <w:color w:val="auto"/>
        </w:rPr>
        <w:t>Pattern’s Price Engine includes a wide range of modules related to maintaining brand control on marketplaces. Pattern’s Price Engine allows brands to better understand if unauthorized sellers are selling their product, for what price they are selling it and what share of overall sales these sellers are commanding. Within this engine, Pattern also monitors hundreds of websites daily to help brands detect price suppression, price erosion and general price competitiveness.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Availability Engine</w:t>
      </w:r>
    </w:p>
    <w:p>
      <w:pPr>
        <w:spacing w:after="0" w:line="175" w:lineRule="exact"/>
        <w:rPr>
          <w:sz w:val="20"/>
          <w:szCs w:val="20"/>
          <w:color w:val="auto"/>
        </w:rPr>
      </w:pPr>
    </w:p>
    <w:p>
      <w:pPr>
        <w:ind w:left="680" w:right="20"/>
        <w:spacing w:after="0" w:line="258" w:lineRule="auto"/>
        <w:rPr>
          <w:sz w:val="20"/>
          <w:szCs w:val="20"/>
          <w:color w:val="auto"/>
        </w:rPr>
      </w:pPr>
      <w:r>
        <w:rPr>
          <w:rFonts w:ascii="Times New Roman" w:cs="Times New Roman" w:eastAsia="Times New Roman" w:hAnsi="Times New Roman"/>
          <w:sz w:val="18"/>
          <w:szCs w:val="18"/>
          <w:color w:val="auto"/>
        </w:rPr>
        <w:t>Pattern’s Availability Engine contains a number of modules, including a robust order management system, which provides brands with ongoing visibility into their product inventory pools across marketplaces, as well as detailed information on where their products reside in the pipeline. Other modules in the Availability Engine provide Pattern internal teams with forecasting models and detailed information regarding in-stock rates, which helps brands avoid advertising products that are at imminent risk of going out of stock. This software is critical in helping maintain high in-stock rates for brand partners and keeping Pattern warehouses running efficiently.</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On-Demand Expertise</w:t>
      </w:r>
    </w:p>
    <w:p>
      <w:pPr>
        <w:spacing w:after="0" w:line="175" w:lineRule="exact"/>
        <w:rPr>
          <w:sz w:val="20"/>
          <w:szCs w:val="20"/>
          <w:color w:val="auto"/>
        </w:rPr>
      </w:pPr>
    </w:p>
    <w:p>
      <w:pPr>
        <w:ind w:left="680" w:right="100"/>
        <w:spacing w:after="0" w:line="261" w:lineRule="auto"/>
        <w:rPr>
          <w:sz w:val="20"/>
          <w:szCs w:val="20"/>
          <w:color w:val="auto"/>
        </w:rPr>
      </w:pPr>
      <w:r>
        <w:rPr>
          <w:rFonts w:ascii="Times New Roman" w:cs="Times New Roman" w:eastAsia="Times New Roman" w:hAnsi="Times New Roman"/>
          <w:sz w:val="18"/>
          <w:szCs w:val="18"/>
          <w:color w:val="auto"/>
        </w:rPr>
        <w:t>Unlike companies only providing or selling technology and software to brands, our platform combines our proprietary technology with integrated, on-demand expertise. These in-house experts include experienced brand managers, ad strategists, search engine optimization (“SEO”) strategists, art directors, account health specialists, data scientists, former brand and retail executives, customer service specialists and in-stock managers. Our experts</w:t>
      </w:r>
    </w:p>
    <w:p>
      <w:pPr>
        <w:sectPr>
          <w:pgSz w:w="11900" w:h="16838" w:orient="portrait"/>
          <w:cols w:equalWidth="0" w:num="1">
            <w:col w:w="10560"/>
          </w:cols>
          <w:pgMar w:left="3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60"/>
          </w:cols>
          <w:pgMar w:left="320" w:top="117" w:right="10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316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31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right="440"/>
        <w:spacing w:after="0" w:line="266" w:lineRule="auto"/>
        <w:rPr>
          <w:sz w:val="20"/>
          <w:szCs w:val="20"/>
          <w:color w:val="auto"/>
        </w:rPr>
      </w:pPr>
      <w:r>
        <w:rPr>
          <w:rFonts w:ascii="Times New Roman" w:cs="Times New Roman" w:eastAsia="Times New Roman" w:hAnsi="Times New Roman"/>
          <w:sz w:val="18"/>
          <w:szCs w:val="18"/>
          <w:color w:val="auto"/>
        </w:rPr>
        <w:t>leverage our platform and experience across many brands to seek to profitably grow our revenue while executing with our brand partners’ specific goals and priorities in mind. We believe our technology is amplified by our team, and this combination will drive greater success than standalone agency models or technology solutions.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1" w:lineRule="exact"/>
        <w:rPr>
          <w:sz w:val="20"/>
          <w:szCs w:val="20"/>
          <w:color w:val="auto"/>
        </w:rPr>
      </w:pPr>
    </w:p>
    <w:p>
      <w:pPr>
        <w:ind w:left="1320" w:right="20" w:hanging="322"/>
        <w:spacing w:after="0" w:line="26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Win-win Partnership Mindset: </w:t>
      </w:r>
      <w:r>
        <w:rPr>
          <w:rFonts w:ascii="Times New Roman" w:cs="Times New Roman" w:eastAsia="Times New Roman" w:hAnsi="Times New Roman"/>
          <w:sz w:val="18"/>
          <w:szCs w:val="18"/>
          <w:color w:val="auto"/>
        </w:rPr>
        <w:t>We run our business on the philosophy that a brand partner’s success and our success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linked. Our business model avoids the “agency mindset,” as the incentives of both Pattern and our brand partners are economically aligned towards driving consumer product sales. Acquiring inventory demonstrates our commitment to and belief in our own capabilities while providing a more seamless and low-friction collaboration with our brand partners.</w:t>
      </w:r>
    </w:p>
    <w:p>
      <w:pPr>
        <w:spacing w:after="0" w:line="122" w:lineRule="exact"/>
        <w:rPr>
          <w:rFonts w:ascii="Times New Roman" w:cs="Times New Roman" w:eastAsia="Times New Roman" w:hAnsi="Times New Roman"/>
          <w:sz w:val="18"/>
          <w:szCs w:val="18"/>
          <w:color w:val="auto"/>
        </w:rPr>
      </w:pPr>
    </w:p>
    <w:p>
      <w:pPr>
        <w:ind w:left="1320" w:right="80" w:hanging="322"/>
        <w:spacing w:after="0" w:line="255"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Proprietary Technology and Data Sets: </w:t>
      </w:r>
      <w:r>
        <w:rPr>
          <w:rFonts w:ascii="Times New Roman" w:cs="Times New Roman" w:eastAsia="Times New Roman" w:hAnsi="Times New Roman"/>
          <w:sz w:val="18"/>
          <w:szCs w:val="18"/>
          <w:color w:val="auto"/>
        </w:rPr>
        <w:t>We hold a distinct and growing data advantage gathering massive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of real-time data, with more than 46 trillion data points captured since our inception and more than 100 billion new data points added each week on average. Our Insights Engine then continuously aggregates insights from Pattern’s EXP, which is comprised of our data and computational layers, into performance dashboards driving all of our modules, producing traffic, conversion, price and availability insights that we use to make data-driven decisions. We provide brand partners with crucial data to safeguard their brand equity online by facilitating consistency across marketplaces and enabling brands to have unified product listing content, fast delivery speeds and quality customer service. Our success and future growth depends on our continued access to comprehensive marketplace data. See the section titled “Risk Factors” for more information.</w:t>
      </w:r>
    </w:p>
    <w:p>
      <w:pPr>
        <w:spacing w:after="0" w:line="130" w:lineRule="exact"/>
        <w:rPr>
          <w:rFonts w:ascii="Times New Roman" w:cs="Times New Roman" w:eastAsia="Times New Roman" w:hAnsi="Times New Roman"/>
          <w:sz w:val="18"/>
          <w:szCs w:val="18"/>
          <w:color w:val="auto"/>
        </w:rPr>
      </w:pPr>
    </w:p>
    <w:p>
      <w:pPr>
        <w:ind w:left="1320" w:hanging="322"/>
        <w:spacing w:after="0" w:line="26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Integrated, On-demand Expertise: </w:t>
      </w:r>
      <w:r>
        <w:rPr>
          <w:rFonts w:ascii="Times New Roman" w:cs="Times New Roman" w:eastAsia="Times New Roman" w:hAnsi="Times New Roman"/>
          <w:sz w:val="18"/>
          <w:szCs w:val="18"/>
          <w:color w:val="auto"/>
        </w:rPr>
        <w:t>The strength of our platform is amplified by our integrated, on-demand industry experts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offer valuable insights and best practices for succeeding in online channels. Among other things, these experts create a tailored operational strategy, offering expertise to our brand partners, including marketing strategy and implementation, creative development and customer service.</w:t>
      </w:r>
    </w:p>
    <w:p>
      <w:pPr>
        <w:spacing w:after="0" w:line="122" w:lineRule="exact"/>
        <w:rPr>
          <w:rFonts w:ascii="Times New Roman" w:cs="Times New Roman" w:eastAsia="Times New Roman" w:hAnsi="Times New Roman"/>
          <w:sz w:val="18"/>
          <w:szCs w:val="18"/>
          <w:color w:val="auto"/>
        </w:rPr>
      </w:pPr>
    </w:p>
    <w:p>
      <w:pPr>
        <w:ind w:left="1320" w:right="460" w:hanging="322"/>
        <w:spacing w:after="0" w:line="28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Scale: </w:t>
      </w:r>
      <w:r>
        <w:rPr>
          <w:rFonts w:ascii="Times New Roman" w:cs="Times New Roman" w:eastAsia="Times New Roman" w:hAnsi="Times New Roman"/>
          <w:sz w:val="18"/>
          <w:szCs w:val="18"/>
          <w:color w:val="auto"/>
        </w:rPr>
        <w:t>Every element of our platform benefits from compounding scale, from breadth and diversity of data, to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and on-demand experts, to our global logistics network.</w:t>
      </w:r>
    </w:p>
    <w:p>
      <w:pPr>
        <w:spacing w:after="0" w:line="100" w:lineRule="exact"/>
        <w:rPr>
          <w:rFonts w:ascii="Times New Roman" w:cs="Times New Roman" w:eastAsia="Times New Roman" w:hAnsi="Times New Roman"/>
          <w:sz w:val="18"/>
          <w:szCs w:val="18"/>
          <w:color w:val="auto"/>
        </w:rPr>
      </w:pPr>
    </w:p>
    <w:p>
      <w:pPr>
        <w:ind w:left="1320" w:right="120" w:hanging="322"/>
        <w:spacing w:after="0" w:line="26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First-mover Advantage: </w:t>
      </w:r>
      <w:r>
        <w:rPr>
          <w:rFonts w:ascii="Times New Roman" w:cs="Times New Roman" w:eastAsia="Times New Roman" w:hAnsi="Times New Roman"/>
          <w:sz w:val="18"/>
          <w:szCs w:val="18"/>
          <w:color w:val="auto"/>
        </w:rPr>
        <w:t>As the first mover, we have built a competitive edge by accumulating a robust data set, entering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international markets and establishing a track record of seller excellence across global marketplaces, which allows us to offer data-driven insights and comprehensive optimization strategies for our brand partners. Our future success depends on successfully competing against current and future competitors. See the section titled “Risk Factors” for more information.</w:t>
      </w:r>
    </w:p>
    <w:p>
      <w:pPr>
        <w:spacing w:after="0" w:line="122" w:lineRule="exact"/>
        <w:rPr>
          <w:rFonts w:ascii="Times New Roman" w:cs="Times New Roman" w:eastAsia="Times New Roman" w:hAnsi="Times New Roman"/>
          <w:sz w:val="18"/>
          <w:szCs w:val="18"/>
          <w:color w:val="auto"/>
        </w:rPr>
      </w:pPr>
    </w:p>
    <w:p>
      <w:pPr>
        <w:ind w:left="1320" w:right="100" w:hanging="322"/>
        <w:spacing w:after="0" w:line="257"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 and Long-lasting Brand Partner Relationships: </w:t>
      </w:r>
      <w:r>
        <w:rPr>
          <w:rFonts w:ascii="Times New Roman" w:cs="Times New Roman" w:eastAsia="Times New Roman" w:hAnsi="Times New Roman"/>
          <w:sz w:val="18"/>
          <w:szCs w:val="18"/>
          <w:color w:val="auto"/>
        </w:rPr>
        <w:t>We have built enduring relationships with our brand partners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surpass most software-only monetization models. For the year ended December 31, 2024, approximately 87% of our revenue was attributable to brand partners that have been with Pattern for more than twelve months, and more than 48% of our revenue was attributable to brand partners that have been with Pattern for more than five years, demonstrating our strong and durable relationships. Our future success depends on our ability to source additional, or strengthen our existing relationships with, brand partners. See the section titled “Risk factors” for more information.</w:t>
      </w:r>
    </w:p>
    <w:p>
      <w:pPr>
        <w:spacing w:after="0" w:line="128" w:lineRule="exact"/>
        <w:rPr>
          <w:rFonts w:ascii="Times New Roman" w:cs="Times New Roman" w:eastAsia="Times New Roman" w:hAnsi="Times New Roman"/>
          <w:sz w:val="18"/>
          <w:szCs w:val="18"/>
          <w:color w:val="auto"/>
        </w:rPr>
      </w:pPr>
    </w:p>
    <w:p>
      <w:pPr>
        <w:ind w:left="1320" w:right="60" w:hanging="322"/>
        <w:spacing w:after="0" w:line="26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Leadership Team: </w:t>
      </w:r>
      <w:r>
        <w:rPr>
          <w:rFonts w:ascii="Times New Roman" w:cs="Times New Roman" w:eastAsia="Times New Roman" w:hAnsi="Times New Roman"/>
          <w:sz w:val="18"/>
          <w:szCs w:val="18"/>
          <w:color w:val="auto"/>
        </w:rPr>
        <w:t>We believe our talent, expertise and culture are key competitive advantages. Our founder-led, data-obsessed team comprises a diverse range of experts who are highly focused on execution, innovation and continuous improvement. Our future success depends on the continuing efforts of our co-founders and senior management team. See the section titled “Risk Factors” for more information.</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5" w:lineRule="exact"/>
        <w:rPr>
          <w:sz w:val="20"/>
          <w:szCs w:val="20"/>
          <w:color w:val="auto"/>
        </w:rPr>
      </w:pPr>
    </w:p>
    <w:p>
      <w:pPr>
        <w:ind w:left="680" w:right="120"/>
        <w:spacing w:after="0" w:line="229" w:lineRule="auto"/>
        <w:rPr>
          <w:sz w:val="20"/>
          <w:szCs w:val="20"/>
          <w:color w:val="auto"/>
        </w:rPr>
      </w:pPr>
      <w:r>
        <w:rPr>
          <w:rFonts w:ascii="Times New Roman" w:cs="Times New Roman" w:eastAsia="Times New Roman" w:hAnsi="Times New Roman"/>
          <w:sz w:val="18"/>
          <w:szCs w:val="18"/>
          <w:color w:val="auto"/>
        </w:rPr>
        <w:t>Pattern operates within the expansive, approximately $4 trillion global ecommerce market,</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a sector characterized by its large scale and the increasing number of consumers shopping online. Ecommerce stands as the</w:t>
      </w:r>
    </w:p>
    <w:p>
      <w:pPr>
        <w:spacing w:after="0" w:line="245" w:lineRule="exact"/>
        <w:rPr>
          <w:sz w:val="20"/>
          <w:szCs w:val="20"/>
          <w:color w:val="auto"/>
        </w:rPr>
      </w:pPr>
    </w:p>
    <w:p>
      <w:pPr>
        <w:ind w:left="1000" w:hanging="326"/>
        <w:spacing w:after="0"/>
        <w:tabs>
          <w:tab w:leader="none" w:pos="100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ectPr>
          <w:pgSz w:w="11900" w:h="16838" w:orient="portrait"/>
          <w:cols w:equalWidth="0" w:num="1">
            <w:col w:w="10540"/>
          </w:cols>
          <w:pgMar w:left="320" w:top="11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540"/>
          </w:cols>
          <w:pgMar w:left="320" w:top="117" w:right="10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187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right="20"/>
        <w:spacing w:after="0" w:line="235" w:lineRule="auto"/>
        <w:rPr>
          <w:sz w:val="20"/>
          <w:szCs w:val="20"/>
          <w:color w:val="auto"/>
        </w:rPr>
      </w:pPr>
      <w:r>
        <w:rPr>
          <w:rFonts w:ascii="Times New Roman" w:cs="Times New Roman" w:eastAsia="Times New Roman" w:hAnsi="Times New Roman"/>
          <w:sz w:val="18"/>
          <w:szCs w:val="18"/>
          <w:color w:val="auto"/>
        </w:rPr>
        <w:t>fastest-growing retail channel worldwide, with projected annual sales volume increases exceeding $490 billion and a projected CAGR of 9.5% from 2025 to 2029.</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This market is ripe for innovation, as many traditional retailers, having not fully embraced the transition to online, are unable to provide personalized and data-driven shopping experiences.</w:t>
      </w:r>
    </w:p>
    <w:p>
      <w:pPr>
        <w:spacing w:after="0" w:line="146" w:lineRule="exact"/>
        <w:rPr>
          <w:sz w:val="20"/>
          <w:szCs w:val="20"/>
          <w:color w:val="auto"/>
        </w:rPr>
      </w:pPr>
    </w:p>
    <w:p>
      <w:pPr>
        <w:ind w:left="680" w:right="120"/>
        <w:spacing w:after="0" w:line="234" w:lineRule="auto"/>
        <w:rPr>
          <w:sz w:val="20"/>
          <w:szCs w:val="20"/>
          <w:color w:val="auto"/>
        </w:rPr>
      </w:pPr>
      <w:r>
        <w:rPr>
          <w:rFonts w:ascii="Times New Roman" w:cs="Times New Roman" w:eastAsia="Times New Roman" w:hAnsi="Times New Roman"/>
          <w:sz w:val="18"/>
          <w:szCs w:val="18"/>
          <w:color w:val="auto"/>
        </w:rPr>
        <w:t>As of 2024, the global ecommerce sector is estimated to have a penetration rate of 22%.</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We believe that several of our core categories, including health and wellness and beauty and home goods, are currently under-penetrated. In the United States, ecommerce penetration for similar categories is estimated to range from 20% to 40% as of 2024, whereas more mature ecommerce categories have penetration rates approaching 70%.</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Looking ahead, our core categories are forecasted to reach penetration rates of 30% to 50% by 2028 in the United States.</w:t>
      </w:r>
      <w:r>
        <w:rPr>
          <w:rFonts w:ascii="Times New Roman" w:cs="Times New Roman" w:eastAsia="Times New Roman" w:hAnsi="Times New Roman"/>
          <w:sz w:val="23"/>
          <w:szCs w:val="23"/>
          <w:color w:val="auto"/>
          <w:vertAlign w:val="superscript"/>
        </w:rPr>
        <w:t>10</w:t>
      </w:r>
    </w:p>
    <w:p>
      <w:pPr>
        <w:spacing w:after="0" w:line="65" w:lineRule="exact"/>
        <w:rPr>
          <w:sz w:val="20"/>
          <w:szCs w:val="20"/>
          <w:color w:val="auto"/>
        </w:rPr>
      </w:pPr>
    </w:p>
    <w:p>
      <w:pPr>
        <w:ind w:left="680" w:right="60"/>
        <w:spacing w:after="0" w:line="255" w:lineRule="auto"/>
        <w:rPr>
          <w:sz w:val="20"/>
          <w:szCs w:val="20"/>
          <w:color w:val="auto"/>
        </w:rPr>
      </w:pPr>
      <w:r>
        <w:rPr>
          <w:rFonts w:ascii="Times New Roman" w:cs="Times New Roman" w:eastAsia="Times New Roman" w:hAnsi="Times New Roman"/>
          <w:sz w:val="18"/>
          <w:szCs w:val="18"/>
          <w:color w:val="auto"/>
        </w:rPr>
        <w:t>As we explore opportunities to expand our presence in global ecommerce marketplaces, we have identified additional retail brands that we believe can potentially benefit from our platform. We estimate that these brands represent a gross merchandise value (“GMV”) of approximately $400 billion annually. While there can be no assurance that we will pursue, engage or enter into agreements with any of these brands, we believe there is significant potential to increase our sales through partnerships with new brand partners and to expand our relationships with existing brand partners. We believe we are in the early stages of capturing our market opportunity and hold a distinct competitive advantage through our data-driven approach. Our ability to grow depends on a variety of factors, many of which are beyond our control. See the section titled “Risk Factors” for more information.</w:t>
      </w:r>
    </w:p>
    <w:p>
      <w:pPr>
        <w:spacing w:after="0" w:line="1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1" w:lineRule="exact"/>
        <w:rPr>
          <w:sz w:val="20"/>
          <w:szCs w:val="20"/>
          <w:color w:val="auto"/>
        </w:rPr>
      </w:pPr>
    </w:p>
    <w:p>
      <w:pPr>
        <w:ind w:left="1320" w:hanging="322"/>
        <w:spacing w:after="0" w:line="26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 with our Existing Brand Partners: </w:t>
      </w:r>
      <w:r>
        <w:rPr>
          <w:rFonts w:ascii="Times New Roman" w:cs="Times New Roman" w:eastAsia="Times New Roman" w:hAnsi="Times New Roman"/>
          <w:sz w:val="18"/>
          <w:szCs w:val="18"/>
          <w:color w:val="auto"/>
        </w:rPr>
        <w:t>One of our core priorities is retaining and growing our revenue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brand partners through continued optimization of the ecommerce equation. We will also continue to grow by expanding our product selection from each brand partner and bringing those products to new marketplaces.</w:t>
      </w:r>
    </w:p>
    <w:p>
      <w:pPr>
        <w:spacing w:after="0" w:line="62" w:lineRule="exact"/>
        <w:rPr>
          <w:rFonts w:ascii="Times New Roman" w:cs="Times New Roman" w:eastAsia="Times New Roman" w:hAnsi="Times New Roman"/>
          <w:sz w:val="18"/>
          <w:szCs w:val="18"/>
          <w:color w:val="auto"/>
        </w:rPr>
      </w:pPr>
    </w:p>
    <w:p>
      <w:pPr>
        <w:ind w:left="1320" w:right="420" w:hanging="322"/>
        <w:spacing w:after="0" w:line="28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 New Brand Partners: </w:t>
      </w:r>
      <w:r>
        <w:rPr>
          <w:rFonts w:ascii="Times New Roman" w:cs="Times New Roman" w:eastAsia="Times New Roman" w:hAnsi="Times New Roman"/>
          <w:sz w:val="18"/>
          <w:szCs w:val="18"/>
          <w:color w:val="auto"/>
        </w:rPr>
        <w:t>We also grow by signing new brand partners to our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white"/>
        </w:rPr>
        <w:t>Using our extensive data,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white"/>
        </w:rPr>
        <w:t>identify potential brand partners and our sales team efficiently markets to and signs new brand partners.</w:t>
      </w:r>
    </w:p>
    <w:p>
      <w:pPr>
        <w:spacing w:after="0" w:line="46" w:lineRule="exact"/>
        <w:rPr>
          <w:rFonts w:ascii="Times New Roman" w:cs="Times New Roman" w:eastAsia="Times New Roman" w:hAnsi="Times New Roman"/>
          <w:sz w:val="18"/>
          <w:szCs w:val="18"/>
          <w:color w:val="auto"/>
        </w:rPr>
      </w:pPr>
    </w:p>
    <w:p>
      <w:pPr>
        <w:ind w:left="1320" w:right="80" w:hanging="322"/>
        <w:spacing w:after="0" w:line="317" w:lineRule="auto"/>
        <w:tabs>
          <w:tab w:leader="none" w:pos="13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Enhance and Expand our Platform: </w:t>
      </w:r>
      <w:r>
        <w:rPr>
          <w:rFonts w:ascii="Times New Roman" w:cs="Times New Roman" w:eastAsia="Times New Roman" w:hAnsi="Times New Roman"/>
          <w:sz w:val="17"/>
          <w:szCs w:val="17"/>
          <w:color w:val="auto"/>
        </w:rPr>
        <w:t>Continuing to innovate and expand the breadth and quality of our platform enhances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 to our brand partners, differentiates ourselves in the ecommerce accelerator space and meets evolving market demands.</w:t>
      </w:r>
    </w:p>
    <w:p>
      <w:pPr>
        <w:spacing w:after="0" w:line="23" w:lineRule="exact"/>
        <w:rPr>
          <w:rFonts w:ascii="Times New Roman" w:cs="Times New Roman" w:eastAsia="Times New Roman" w:hAnsi="Times New Roman"/>
          <w:sz w:val="17"/>
          <w:szCs w:val="17"/>
          <w:color w:val="auto"/>
        </w:rPr>
      </w:pPr>
    </w:p>
    <w:p>
      <w:pPr>
        <w:ind w:left="1320" w:right="180" w:hanging="322"/>
        <w:spacing w:after="0" w:line="26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Monetize Incremental Solutions: </w:t>
      </w:r>
      <w:r>
        <w:rPr>
          <w:rFonts w:ascii="Times New Roman" w:cs="Times New Roman" w:eastAsia="Times New Roman" w:hAnsi="Times New Roman"/>
          <w:sz w:val="18"/>
          <w:szCs w:val="18"/>
          <w:color w:val="auto"/>
        </w:rPr>
        <w:t>Due to the strength of our platform and the unique space we occupy at the intersection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brands and marketplaces, we will continue to evaluate the potential to monetize discrete components of the value chain and to diversify our revenue mix.</w:t>
      </w:r>
    </w:p>
    <w:p>
      <w:pPr>
        <w:spacing w:after="0" w:line="62" w:lineRule="exact"/>
        <w:rPr>
          <w:rFonts w:ascii="Times New Roman" w:cs="Times New Roman" w:eastAsia="Times New Roman" w:hAnsi="Times New Roman"/>
          <w:sz w:val="18"/>
          <w:szCs w:val="18"/>
          <w:color w:val="auto"/>
        </w:rPr>
      </w:pPr>
    </w:p>
    <w:p>
      <w:pPr>
        <w:ind w:left="1320" w:hanging="322"/>
        <w:spacing w:after="0" w:line="28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Expand into Global Geographies: </w:t>
      </w:r>
      <w:r>
        <w:rPr>
          <w:rFonts w:ascii="Times New Roman" w:cs="Times New Roman" w:eastAsia="Times New Roman" w:hAnsi="Times New Roman"/>
          <w:sz w:val="18"/>
          <w:szCs w:val="18"/>
          <w:color w:val="auto"/>
        </w:rPr>
        <w:t>One of our competitive strengths lies in our global capabilities, and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is a significant opportunity to increase our revenue by further expanding outside the United States.</w:t>
      </w:r>
    </w:p>
    <w:p>
      <w:pPr>
        <w:spacing w:after="0" w:line="1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left="680" w:right="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These risks are described more fully in the section titled “Risk Factors” immediately following this prospectus summary. These risks include, but are not limited to, the following:</w:t>
      </w:r>
    </w:p>
    <w:p>
      <w:pPr>
        <w:spacing w:after="0" w:line="122" w:lineRule="exact"/>
        <w:rPr>
          <w:sz w:val="20"/>
          <w:szCs w:val="20"/>
          <w:color w:val="auto"/>
        </w:rPr>
      </w:pPr>
    </w:p>
    <w:p>
      <w:pPr>
        <w:ind w:left="1320" w:right="220" w:hanging="322"/>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dependent upon maintaining our relationship with Amazon and other marketplaces and our failure to do so, or any restrictions on our ability to offer brand partners’ products on Amazon and other marketplaces, could have an adverse impact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320" w:right="360" w:hanging="322"/>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relies in part on the use of comprehensive marketplace data, and if we lose the ability to use such data, or if such data contain inaccuracies, our business could be adversely affected.</w:t>
      </w:r>
    </w:p>
    <w:p>
      <w:pPr>
        <w:spacing w:after="0" w:line="198" w:lineRule="exact"/>
        <w:rPr>
          <w:sz w:val="20"/>
          <w:szCs w:val="20"/>
          <w:color w:val="auto"/>
        </w:rPr>
      </w:pPr>
    </w:p>
    <w:p>
      <w:pPr>
        <w:ind w:left="1000" w:hanging="326"/>
        <w:spacing w:after="0"/>
        <w:tabs>
          <w:tab w:leader="none" w:pos="1000" w:val="left"/>
        </w:tabs>
        <w:numPr>
          <w:ilvl w:val="0"/>
          <w:numId w:val="1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ind w:left="1020" w:hanging="346"/>
        <w:spacing w:after="0"/>
        <w:tabs>
          <w:tab w:leader="none" w:pos="1020" w:val="left"/>
        </w:tabs>
        <w:numPr>
          <w:ilvl w:val="0"/>
          <w:numId w:val="1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eMarketer, US Ecommerce by Category 2024: A Slowdown in Growth Reshapes the Landscape – February 2024.</w:t>
      </w:r>
    </w:p>
    <w:p>
      <w:pPr>
        <w:sectPr>
          <w:pgSz w:w="11900" w:h="16838" w:orient="portrait"/>
          <w:cols w:equalWidth="0" w:num="1">
            <w:col w:w="10560"/>
          </w:cols>
          <w:pgMar w:left="3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560"/>
          </w:cols>
          <w:pgMar w:left="320" w:top="117" w:right="10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162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20" w:right="620" w:hanging="322"/>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performance issues with our technology, whether real or perceived, including a failure to respond to technological changes or to upgrade our technology systems, may adversely affect our business, financial condition and operating results.</w:t>
      </w:r>
    </w:p>
    <w:p>
      <w:pPr>
        <w:spacing w:after="0" w:line="67"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introduce new features or solutions successfully and to make enhancements to existing solutions, our ability to grow and operate our business could be adversely affected.</w:t>
      </w:r>
    </w:p>
    <w:p>
      <w:pPr>
        <w:spacing w:after="0" w:line="53" w:lineRule="exact"/>
        <w:rPr>
          <w:rFonts w:ascii="Times New Roman" w:cs="Times New Roman" w:eastAsia="Times New Roman" w:hAnsi="Times New Roman"/>
          <w:sz w:val="18"/>
          <w:szCs w:val="18"/>
          <w:color w:val="auto"/>
        </w:rPr>
      </w:pPr>
    </w:p>
    <w:p>
      <w:pPr>
        <w:ind w:left="1320" w:right="620" w:hanging="322"/>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source additional, or strengthen our existing relationships with, brand partners, and the loss of any significant brand partners would negatively impact our business.</w:t>
      </w:r>
    </w:p>
    <w:p>
      <w:pPr>
        <w:spacing w:after="0" w:line="53"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gross merchandise value of potential additional brand partners may prove to be inaccurate.</w:t>
      </w:r>
    </w:p>
    <w:p>
      <w:pPr>
        <w:spacing w:after="0" w:line="11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the continuing efforts of our co-founders and senior management team.</w:t>
      </w:r>
    </w:p>
    <w:p>
      <w:pPr>
        <w:spacing w:after="0" w:line="117" w:lineRule="exact"/>
        <w:rPr>
          <w:rFonts w:ascii="Times New Roman" w:cs="Times New Roman" w:eastAsia="Times New Roman" w:hAnsi="Times New Roman"/>
          <w:sz w:val="18"/>
          <w:szCs w:val="18"/>
          <w:color w:val="auto"/>
        </w:rPr>
      </w:pPr>
    </w:p>
    <w:p>
      <w:pPr>
        <w:ind w:left="1320" w:right="180" w:hanging="322"/>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highly-skilled personnel to grow and operate our business, and if we are unable to hire, retain and motivate our personnel, we may not be able to grow effectively.</w:t>
      </w:r>
    </w:p>
    <w:p>
      <w:pPr>
        <w:spacing w:after="0" w:line="53" w:lineRule="exact"/>
        <w:rPr>
          <w:rFonts w:ascii="Times New Roman" w:cs="Times New Roman" w:eastAsia="Times New Roman" w:hAnsi="Times New Roman"/>
          <w:sz w:val="18"/>
          <w:szCs w:val="18"/>
          <w:color w:val="auto"/>
        </w:rPr>
      </w:pPr>
    </w:p>
    <w:p>
      <w:pPr>
        <w:ind w:left="1320" w:right="20" w:hanging="322"/>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David Wright, our Chief Executive Officer and co-founder, and Melanie Alder, our Chief Strategy Officer and co-founder, who are married to each other. The separation or divorce of our co-founders in the future could adversely affect our business.</w:t>
      </w:r>
    </w:p>
    <w:p>
      <w:pPr>
        <w:spacing w:after="0" w:line="67" w:lineRule="exact"/>
        <w:rPr>
          <w:rFonts w:ascii="Times New Roman" w:cs="Times New Roman" w:eastAsia="Times New Roman" w:hAnsi="Times New Roman"/>
          <w:sz w:val="18"/>
          <w:szCs w:val="18"/>
          <w:color w:val="auto"/>
        </w:rPr>
      </w:pPr>
    </w:p>
    <w:p>
      <w:pPr>
        <w:ind w:left="1320" w:right="60" w:hanging="322"/>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fund our research and development efforts, we may not be able to compete effectively and our business and operating results may be harmed.</w:t>
      </w:r>
    </w:p>
    <w:p>
      <w:pPr>
        <w:spacing w:after="0" w:line="53" w:lineRule="exact"/>
        <w:rPr>
          <w:rFonts w:ascii="Times New Roman" w:cs="Times New Roman" w:eastAsia="Times New Roman" w:hAnsi="Times New Roman"/>
          <w:sz w:val="18"/>
          <w:szCs w:val="18"/>
          <w:color w:val="auto"/>
        </w:rPr>
      </w:pPr>
    </w:p>
    <w:p>
      <w:pPr>
        <w:ind w:left="1320" w:right="360" w:hanging="322"/>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accurately forecast consumer demand, manage our inventory and plan for future expenses, our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our recent growth rates may not be indicative of our future growth.</w:t>
      </w:r>
    </w:p>
    <w:p>
      <w:pPr>
        <w:spacing w:after="0" w:line="117" w:lineRule="exact"/>
        <w:rPr>
          <w:rFonts w:ascii="Times New Roman" w:cs="Times New Roman" w:eastAsia="Times New Roman" w:hAnsi="Times New Roman"/>
          <w:sz w:val="18"/>
          <w:szCs w:val="18"/>
          <w:color w:val="auto"/>
        </w:rPr>
      </w:pPr>
    </w:p>
    <w:p>
      <w:pPr>
        <w:ind w:left="1320" w:right="180" w:hanging="322"/>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business, financial condition and results of operations could be materially and adversely affected.</w:t>
      </w:r>
    </w:p>
    <w:p>
      <w:pPr>
        <w:spacing w:after="0" w:line="53" w:lineRule="exact"/>
        <w:rPr>
          <w:rFonts w:ascii="Times New Roman" w:cs="Times New Roman" w:eastAsia="Times New Roman" w:hAnsi="Times New Roman"/>
          <w:sz w:val="18"/>
          <w:szCs w:val="18"/>
          <w:color w:val="auto"/>
        </w:rPr>
      </w:pPr>
    </w:p>
    <w:p>
      <w:pPr>
        <w:jc w:val="both"/>
        <w:ind w:left="1320" w:right="540" w:hanging="322"/>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laws and regulations and we may incur material liabilities or costs related to complying with existing or future laws and regulations, and our failure to comply may result in enforcements, penalties, recalls and other adverse actions.</w:t>
      </w:r>
    </w:p>
    <w:p>
      <w:pPr>
        <w:spacing w:after="0" w:line="67" w:lineRule="exact"/>
        <w:rPr>
          <w:rFonts w:ascii="Times New Roman" w:cs="Times New Roman" w:eastAsia="Times New Roman" w:hAnsi="Times New Roman"/>
          <w:sz w:val="18"/>
          <w:szCs w:val="18"/>
          <w:color w:val="auto"/>
        </w:rPr>
      </w:pPr>
    </w:p>
    <w:p>
      <w:pPr>
        <w:ind w:left="1320" w:right="120" w:hanging="322"/>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financial instability and changes in international trade policies or tariffs and rising political tensions, particularly between the United States and China, could have a material impact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320" w:right="180" w:hanging="322"/>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under the corporate governance requirements of the Nasdaq Stock Market, and intend to avail ourselves of certain reduced corporate governance requirements.</w:t>
      </w:r>
    </w:p>
    <w:p>
      <w:pPr>
        <w:spacing w:after="0" w:line="53" w:lineRule="exact"/>
        <w:rPr>
          <w:rFonts w:ascii="Times New Roman" w:cs="Times New Roman" w:eastAsia="Times New Roman" w:hAnsi="Times New Roman"/>
          <w:sz w:val="18"/>
          <w:szCs w:val="18"/>
          <w:color w:val="auto"/>
        </w:rPr>
      </w:pPr>
    </w:p>
    <w:p>
      <w:pPr>
        <w:ind w:left="1320" w:right="20" w:hanging="322"/>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series structure of our common stock and the existing ownership of capital stock by our co-founders and their affiliates have the effect of concentrating voting control with our co-founders and their affiliates for the foreseeable future, which will limit your ability to influence corporate matters.</w:t>
      </w:r>
    </w:p>
    <w:p>
      <w:pPr>
        <w:spacing w:after="0" w:line="67" w:lineRule="exact"/>
        <w:rPr>
          <w:rFonts w:ascii="Times New Roman" w:cs="Times New Roman" w:eastAsia="Times New Roman" w:hAnsi="Times New Roman"/>
          <w:sz w:val="18"/>
          <w:szCs w:val="18"/>
          <w:color w:val="auto"/>
        </w:rPr>
      </w:pPr>
    </w:p>
    <w:p>
      <w:pPr>
        <w:ind w:left="1320" w:right="280" w:hanging="322"/>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our Series A common stock may not be indicative of the market price of our Series A common stock after this offering. There has been no prior market for our Series A common stock. An active market may not develop or be sustainable, and investors may be unable to resell their shares at or above the initial public offering price.</w:t>
      </w:r>
    </w:p>
    <w:p>
      <w:pPr>
        <w:spacing w:after="0" w:line="6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80"/>
        <w:spacing w:after="0" w:line="312" w:lineRule="auto"/>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results of operations, financial condition and prospects may be harmed, the trading price of our Series A common stock could decline, and you could lose all or part of your investment.</w:t>
      </w:r>
    </w:p>
    <w:p>
      <w:pPr>
        <w:sectPr>
          <w:pgSz w:w="11900" w:h="16838" w:orient="portrait"/>
          <w:cols w:equalWidth="0" w:num="1">
            <w:col w:w="10560"/>
          </w:cols>
          <w:pgMar w:left="3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320" w:top="117" w:right="10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385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ind w:left="680" w:right="220"/>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we intend to announce material information to the public through filings with the Securities and Exchange Commission (“SEC”), the investor relations page on our website, blog posts on our website, press releases, public conference calls, webcasts, our X feed (@patternhq), our Instagram page (@pattern_hq), our YouTube page (@pattern_hq), our Facebook page and our LinkedIn page.</w:t>
      </w:r>
    </w:p>
    <w:p>
      <w:pPr>
        <w:spacing w:after="0" w:line="126" w:lineRule="exact"/>
        <w:rPr>
          <w:sz w:val="20"/>
          <w:szCs w:val="20"/>
          <w:color w:val="auto"/>
        </w:rPr>
      </w:pPr>
    </w:p>
    <w:p>
      <w:pPr>
        <w:ind w:left="680" w:right="20"/>
        <w:spacing w:after="0" w:line="282" w:lineRule="auto"/>
        <w:rPr>
          <w:sz w:val="20"/>
          <w:szCs w:val="20"/>
          <w:color w:val="auto"/>
        </w:rPr>
      </w:pPr>
      <w:r>
        <w:rPr>
          <w:rFonts w:ascii="Times New Roman" w:cs="Times New Roman" w:eastAsia="Times New Roman" w:hAnsi="Times New Roman"/>
          <w:sz w:val="18"/>
          <w:szCs w:val="18"/>
          <w:color w:val="auto"/>
        </w:rPr>
        <w:t>The information disclosed through the foregoing channels could be deemed to be material information. As such, we encourage investors, the media and others to follow the channels listed above and to review the information disclosed through such channels.</w:t>
      </w:r>
    </w:p>
    <w:p>
      <w:pPr>
        <w:spacing w:after="0" w:line="108" w:lineRule="exact"/>
        <w:rPr>
          <w:sz w:val="20"/>
          <w:szCs w:val="20"/>
          <w:color w:val="auto"/>
        </w:rPr>
      </w:pPr>
    </w:p>
    <w:p>
      <w:pPr>
        <w:jc w:val="both"/>
        <w:ind w:left="680" w:right="100"/>
        <w:spacing w:after="0" w:line="266"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 Information contained on or accessible through any of the foregoing channels is not incorporated by reference into this prospectus.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8"/>
          <w:szCs w:val="18"/>
          <w:color w:val="auto"/>
        </w:rPr>
        <w:t>We were incorporated in 2018 under the name Covalent Group, Inc. as a Utah corporation and subsequently converted to a Delaware corporation in 2020. Our wholly-owned subsidiary, Pattern Inc., was incorporated in 2013 as a Utah corporation named iServe Products, Inc. In 2019, iServe Products, Inc. changed its name to Pattern Inc., and subsequently in 2019, the stockholders of Pattern Inc. exchanged all of the issued and outstanding shares of Pattern Inc. for shares of Covalent Group, Inc. In November 2024, Covalent Group, Inc. changed its name to Pattern Group Inc. Our principal executive offices are located at 1441 West Innovation Way, Suite 500, Lehi, UT 84043, and our telephone number is (866) 765-1355. Our website address is www.pattern.com. Information contained on or that can be accessed through our website does not constitute part of this prospectus and the inclusion of our website address in this prospectus is an inactive textual reference only. You should not consider information contained on our website to be part of this prospectus or in deciding whether to purchase shares of our Series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0" w:right="120"/>
        <w:spacing w:after="0" w:line="305" w:lineRule="auto"/>
        <w:rPr>
          <w:sz w:val="20"/>
          <w:szCs w:val="20"/>
          <w:color w:val="auto"/>
        </w:rPr>
      </w:pPr>
      <w:r>
        <w:rPr>
          <w:rFonts w:ascii="Times New Roman" w:cs="Times New Roman" w:eastAsia="Times New Roman" w:hAnsi="Times New Roman"/>
          <w:sz w:val="14"/>
          <w:szCs w:val="14"/>
          <w:i w:val="1"/>
          <w:iCs w:val="1"/>
          <w:color w:val="auto"/>
        </w:rPr>
        <w:t>The diagram above depicts our organizational structure. This chart is provided for illustrative purposes only and does not show all of our legal entities. Each direct and indirect subsidiary of the Company is wholly owned. All business is conducted through our wholly-owned subsidiaries.</w:t>
      </w:r>
    </w:p>
    <w:p>
      <w:pPr>
        <w:spacing w:after="0" w:line="110" w:lineRule="exact"/>
        <w:rPr>
          <w:sz w:val="20"/>
          <w:szCs w:val="20"/>
          <w:color w:val="auto"/>
        </w:rPr>
      </w:pPr>
    </w:p>
    <w:p>
      <w:pPr>
        <w:ind w:left="680" w:right="260"/>
        <w:spacing w:after="0" w:line="281" w:lineRule="auto"/>
        <w:rPr>
          <w:sz w:val="20"/>
          <w:szCs w:val="20"/>
          <w:color w:val="auto"/>
        </w:rPr>
      </w:pPr>
      <w:r>
        <w:rPr>
          <w:rFonts w:ascii="Times New Roman" w:cs="Times New Roman" w:eastAsia="Times New Roman" w:hAnsi="Times New Roman"/>
          <w:sz w:val="17"/>
          <w:szCs w:val="17"/>
          <w:color w:val="auto"/>
        </w:rPr>
        <w:t>“Pattern” is our registered trademark in the United States and other jurisdictions. The Pattern design logo and our other registered or common law trademarks, service marks or trade names appearing in this prospectus are our property. This prospectus includes our trademarks and trade names, including, without limitation, “Pattern”, which are our property and are protected under applicable intellectual property laws. Other trademarks and trade names referred to in this prospectus are the property of their respective owners.</w:t>
      </w:r>
    </w:p>
    <w:p>
      <w:pPr>
        <w:sectPr>
          <w:pgSz w:w="11900" w:h="16838" w:orient="portrait"/>
          <w:cols w:equalWidth="0" w:num="1">
            <w:col w:w="10560"/>
          </w:cols>
          <w:pgMar w:left="3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320" w:top="117" w:right="10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407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407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75" w:lineRule="exact"/>
        <w:rPr>
          <w:sz w:val="20"/>
          <w:szCs w:val="20"/>
          <w:color w:val="auto"/>
        </w:rPr>
      </w:pPr>
    </w:p>
    <w:p>
      <w:pPr>
        <w:ind w:left="680"/>
        <w:spacing w:after="0" w:line="268" w:lineRule="auto"/>
        <w:rPr>
          <w:sz w:val="20"/>
          <w:szCs w:val="20"/>
          <w:color w:val="auto"/>
        </w:rPr>
      </w:pPr>
      <w:r>
        <w:rPr>
          <w:rFonts w:ascii="Times New Roman" w:cs="Times New Roman" w:eastAsia="Times New Roman" w:hAnsi="Times New Roman"/>
          <w:sz w:val="17"/>
          <w:szCs w:val="17"/>
          <w:color w:val="auto"/>
        </w:rPr>
        <w:t>After the consummation of the offering, we will be considered a “controlled company” under the corporate governance requirements of the Nasdaq Stock Market (“Nasdaq”), as our co-founders will collectively have more than 50% of the voting power for the election of directors. See the section titled “Principal and Selling Stockholders” for additional information. As a “controlled company,” we will not be subject to certain corporate governance requirements, including that: (i) a majority of our board of directors consists of “independent directors,” as defined under the corporate governance requirements of Nasdaq; (ii) we have a nominating and corporate governance committee that is composed entirely of independent directors with a written charter addressing the committee’s purpose and responsibilities, or if no such committee exists, that our director nominees be selected or recommended by independent directors constituting a majority of the board of director’s independent directors in a vote in which only independent directors participate; (iii) we have a compensation committee that is composed entirely of independent directors with a written charter addressing the committee’s purpose and responsibilities; and (iv) we perform annual performance evaluations of the nominating and corporate governance and compensation committees. As a result, we may not have a majority of independent directors on our board of directors, an entirely independent nominating and corporate governance committee, an entirely independent compensation committee or perform annual performance evaluations of the nominating and corporate governance and compensation committees unless and until such time as we are required to do so. We expect to have five independent directors upon the closing of this offering, all of whom will qualify as independent for audit committee purposes. Following this offering, we intend to utilize certain of these exemptions. We do not expect that the nominating and corporate governance committee will consist entirely of independent directors upon the consummation of the offering.</w:t>
      </w:r>
    </w:p>
    <w:p>
      <w:pPr>
        <w:spacing w:after="0" w:line="344"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While our co-founders collectively continue to control more than 50% of the voting power of our outstanding common stock, we qualify for, and may rely on, these exemptions. Accordingly, you will not have the same protections afforded to stockholders of companies that are subject to all of the corporate governance requirements of Nasdaq.</w:t>
      </w:r>
    </w:p>
    <w:p>
      <w:pPr>
        <w:spacing w:after="0" w:line="122" w:lineRule="exact"/>
        <w:rPr>
          <w:sz w:val="20"/>
          <w:szCs w:val="20"/>
          <w:color w:val="auto"/>
        </w:rPr>
      </w:pPr>
    </w:p>
    <w:p>
      <w:pPr>
        <w:ind w:left="680" w:right="160"/>
        <w:spacing w:after="0" w:line="282" w:lineRule="auto"/>
        <w:rPr>
          <w:sz w:val="20"/>
          <w:szCs w:val="20"/>
          <w:color w:val="auto"/>
        </w:rPr>
      </w:pPr>
      <w:r>
        <w:rPr>
          <w:rFonts w:ascii="Times New Roman" w:cs="Times New Roman" w:eastAsia="Times New Roman" w:hAnsi="Times New Roman"/>
          <w:sz w:val="18"/>
          <w:szCs w:val="18"/>
          <w:color w:val="auto"/>
        </w:rPr>
        <w:t>In the event we cease to be a “controlled company” and our shares continue to be listed on Nasdaq, we will be required to comply with these corporate governance requirements within the applicable transition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320" w:top="117" w:right="10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6322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540"/>
          </w:cols>
          <w:pgMar w:left="320" w:top="117" w:right="1039" w:bottom="1440" w:gutter="0" w:footer="0" w:header="0"/>
        </w:sectPr>
      </w:pP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Series A common stock offered by us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Series A common stock offered by the selling stockholders</w:t>
      </w:r>
    </w:p>
    <w:p>
      <w:pPr>
        <w:spacing w:after="0" w:line="22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Series A common stock to be outstanding after this offering</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Series B common stock to be outstanding after this offering</w:t>
      </w:r>
    </w:p>
    <w:p>
      <w:pPr>
        <w:spacing w:after="0" w:line="225" w:lineRule="exact"/>
        <w:rPr>
          <w:sz w:val="20"/>
          <w:szCs w:val="20"/>
          <w:color w:val="auto"/>
        </w:rPr>
      </w:pPr>
    </w:p>
    <w:p>
      <w:pPr>
        <w:ind w:left="860" w:hanging="161"/>
        <w:spacing w:after="0" w:line="250" w:lineRule="auto"/>
        <w:rPr>
          <w:sz w:val="20"/>
          <w:szCs w:val="20"/>
          <w:color w:val="auto"/>
        </w:rPr>
      </w:pPr>
      <w:r>
        <w:rPr>
          <w:rFonts w:ascii="Times New Roman" w:cs="Times New Roman" w:eastAsia="Times New Roman" w:hAnsi="Times New Roman"/>
          <w:sz w:val="18"/>
          <w:szCs w:val="18"/>
          <w:color w:val="auto"/>
        </w:rPr>
        <w:t>Option to purchase additional shares of Series A common stock from the selling stockholders</w:t>
      </w:r>
    </w:p>
    <w:p>
      <w:pPr>
        <w:spacing w:after="0" w:line="257" w:lineRule="exact"/>
        <w:rPr>
          <w:sz w:val="20"/>
          <w:szCs w:val="20"/>
          <w:color w:val="auto"/>
        </w:rPr>
      </w:pPr>
    </w:p>
    <w:p>
      <w:pPr>
        <w:ind w:left="860" w:hanging="161"/>
        <w:spacing w:after="0" w:line="250" w:lineRule="auto"/>
        <w:rPr>
          <w:sz w:val="20"/>
          <w:szCs w:val="20"/>
          <w:color w:val="auto"/>
        </w:rPr>
      </w:pPr>
      <w:r>
        <w:rPr>
          <w:rFonts w:ascii="Times New Roman" w:cs="Times New Roman" w:eastAsia="Times New Roman" w:hAnsi="Times New Roman"/>
          <w:sz w:val="18"/>
          <w:szCs w:val="18"/>
          <w:color w:val="auto"/>
        </w:rPr>
        <w:t>Total Series A common stock and Series B common stock to be outstanding after this offering</w:t>
      </w:r>
    </w:p>
    <w:p>
      <w:pPr>
        <w:spacing w:after="0" w:line="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10,714,286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10,714,286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154,317,165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21,702,512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co-founder trusts have granted the underwriters an option,</w:t>
      </w:r>
    </w:p>
    <w:p>
      <w:pPr>
        <w:spacing w:after="0" w:line="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exercisable for 30 days after the date of this prospectus, to purchase up to an additional 3,214,285 shares of Series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176,019,677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net proceeds from the sale of shares of our</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Series A common stock that we are selling in this offering will be approximately $134.5 million, based upon the initial public offering price of $14.00 per share, after deducting underwriting</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discounts and commissions and estimated offering expenses payable by us. We will not receive any proceeds from the sale of the shares of Series A common stock being offered by the selling</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stockholders, including upon the sale of shares of Series A common stock by the co-founder trusts if the underwriters exercise their option.</w:t>
      </w:r>
    </w:p>
    <w:p>
      <w:pPr>
        <w:spacing w:after="0" w:line="118"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8"/>
          <w:szCs w:val="18"/>
          <w:color w:val="auto"/>
        </w:rPr>
        <w:t>We currently intend to use the net proceeds of this offering for working capital, other general corporate purposes and to fund our growth strategies discussed in this prospectus. We may also use a</w:t>
      </w:r>
    </w:p>
    <w:p>
      <w:pPr>
        <w:spacing w:after="0" w:line="1"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7"/>
          <w:szCs w:val="17"/>
          <w:color w:val="auto"/>
        </w:rPr>
        <w:t>portion of the net proceeds to acquire or invest in complementary businesses, products, services, technologies or other assets. We do not, however, have agreements or commitments to enter into any</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acquisitions or investments at this time. We intend to use a portion of the net proceeds we receive from this offering to satisfy the anticipated tax withholding and remittance obligations related to</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the settlement in connection with this offering of our outstanding restricted stock units (“RSUs”).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purposes of this offering are to increase our</w:t>
      </w:r>
    </w:p>
    <w:p>
      <w:pPr>
        <w:spacing w:after="0" w:line="2" w:lineRule="exact"/>
        <w:rPr>
          <w:sz w:val="20"/>
          <w:szCs w:val="20"/>
          <w:color w:val="auto"/>
        </w:rPr>
      </w:pPr>
    </w:p>
    <w:p>
      <w:pPr>
        <w:jc w:val="both"/>
        <w:ind w:right="300"/>
        <w:spacing w:after="0" w:line="218" w:lineRule="auto"/>
        <w:rPr>
          <w:sz w:val="20"/>
          <w:szCs w:val="20"/>
          <w:color w:val="auto"/>
        </w:rPr>
      </w:pPr>
      <w:r>
        <w:rPr>
          <w:rFonts w:ascii="Times New Roman" w:cs="Times New Roman" w:eastAsia="Times New Roman" w:hAnsi="Times New Roman"/>
          <w:sz w:val="18"/>
          <w:szCs w:val="18"/>
          <w:color w:val="auto"/>
        </w:rPr>
        <w:t>capitalization, increase our financial flexibility, create a public market for our Series A common stock and enable access to the public equity markets for our stockholders and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u w:val="single" w:color="auto"/>
          <w:color w:val="0000FF"/>
        </w:rPr>
        <w:t>Use of Proceeds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ectPr>
          <w:pgSz w:w="11900" w:h="16838" w:orient="portrait"/>
          <w:cols w:equalWidth="0" w:num="2">
            <w:col w:w="5280" w:space="400"/>
            <w:col w:w="4860"/>
          </w:cols>
          <w:pgMar w:left="320" w:top="11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320" w:top="117" w:right="10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376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37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Directed share program</w:t>
            </w: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At our request, the underwriters have reserved up</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to 1,071,428 shares of our Series A common stock, or 5% of the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4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shares being offered pursuant to this prospectus, for sale at the</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48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initial public offering price to certain employees as determined by</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certain of our officers through a directed share program. The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4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number of shares of our Series A common stock available for sale</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48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to the general public in this offering will be reduced to the extent</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these employees purchase such reserved shares. Any reserved</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4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shares that are not so purchased will be offered by the underwriters</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48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to the general public on the same basis as the other shares offered</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by this prospectus. See the section titled “Underwriting—Directed</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 Program” for additional information.</w:t>
            </w:r>
          </w:p>
        </w:tc>
        <w:tc>
          <w:tcPr>
            <w:tcW w:w="0" w:type="dxa"/>
            <w:vAlign w:val="bottom"/>
          </w:tcPr>
          <w:p>
            <w:pPr>
              <w:spacing w:after="0"/>
              <w:rPr>
                <w:sz w:val="1"/>
                <w:szCs w:val="1"/>
                <w:color w:val="auto"/>
              </w:rPr>
            </w:pPr>
          </w:p>
        </w:tc>
      </w:tr>
      <w:tr>
        <w:trPr>
          <w:trHeight w:val="23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Voting rights</w:t>
            </w: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We will have two series of common stock: Series A common stock</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Series B common stock.</w:t>
            </w:r>
          </w:p>
        </w:tc>
        <w:tc>
          <w:tcPr>
            <w:tcW w:w="0" w:type="dxa"/>
            <w:vAlign w:val="bottom"/>
          </w:tcPr>
          <w:p>
            <w:pPr>
              <w:spacing w:after="0"/>
              <w:rPr>
                <w:sz w:val="1"/>
                <w:szCs w:val="1"/>
                <w:color w:val="auto"/>
              </w:rPr>
            </w:pPr>
          </w:p>
        </w:tc>
      </w:tr>
      <w:tr>
        <w:trPr>
          <w:trHeight w:val="283"/>
        </w:trPr>
        <w:tc>
          <w:tcPr>
            <w:tcW w:w="4980" w:type="dxa"/>
            <w:vAlign w:val="bottom"/>
          </w:tcPr>
          <w:p>
            <w:pPr>
              <w:spacing w:after="0"/>
              <w:rPr>
                <w:sz w:val="24"/>
                <w:szCs w:val="24"/>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of our Series A common stock are entitled to one vote per</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w:t>
            </w:r>
          </w:p>
        </w:tc>
        <w:tc>
          <w:tcPr>
            <w:tcW w:w="0" w:type="dxa"/>
            <w:vAlign w:val="bottom"/>
          </w:tcPr>
          <w:p>
            <w:pPr>
              <w:spacing w:after="0"/>
              <w:rPr>
                <w:sz w:val="1"/>
                <w:szCs w:val="1"/>
                <w:color w:val="auto"/>
              </w:rPr>
            </w:pPr>
          </w:p>
        </w:tc>
      </w:tr>
      <w:tr>
        <w:trPr>
          <w:trHeight w:val="292"/>
        </w:trPr>
        <w:tc>
          <w:tcPr>
            <w:tcW w:w="4980" w:type="dxa"/>
            <w:vAlign w:val="bottom"/>
          </w:tcPr>
          <w:p>
            <w:pPr>
              <w:spacing w:after="0"/>
              <w:rPr>
                <w:sz w:val="24"/>
                <w:szCs w:val="24"/>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of our Series B common stock are entitled to 20 votes per</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w:t>
            </w:r>
          </w:p>
        </w:tc>
        <w:tc>
          <w:tcPr>
            <w:tcW w:w="0" w:type="dxa"/>
            <w:vAlign w:val="bottom"/>
          </w:tcPr>
          <w:p>
            <w:pPr>
              <w:spacing w:after="0"/>
              <w:rPr>
                <w:sz w:val="1"/>
                <w:szCs w:val="1"/>
                <w:color w:val="auto"/>
              </w:rPr>
            </w:pPr>
          </w:p>
        </w:tc>
      </w:tr>
      <w:tr>
        <w:trPr>
          <w:trHeight w:val="287"/>
        </w:trPr>
        <w:tc>
          <w:tcPr>
            <w:tcW w:w="4980" w:type="dxa"/>
            <w:vAlign w:val="bottom"/>
          </w:tcPr>
          <w:p>
            <w:pPr>
              <w:spacing w:after="0"/>
              <w:rPr>
                <w:sz w:val="24"/>
                <w:szCs w:val="24"/>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Holders of our Series A common stock and Series B common stock</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will generally vote together as a single class, unless otherwise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4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required by law or our amended and restated certificate of</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48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incorporation that will be in effect on the completion of this</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offering. The holders of our outstanding Series B common stock</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4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will hold approximately 73.8% of the voting power of our</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48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outstanding capital stock following the completion of this offering</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and will have the ability to control the outcome of matters</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4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submitted to our stockholders for approval, including the election</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48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of our directors and the approval of any change in control</w:t>
            </w:r>
          </w:p>
        </w:tc>
        <w:tc>
          <w:tcPr>
            <w:tcW w:w="0" w:type="dxa"/>
            <w:vAlign w:val="bottom"/>
          </w:tcPr>
          <w:p>
            <w:pPr>
              <w:spacing w:after="0"/>
              <w:rPr>
                <w:sz w:val="1"/>
                <w:szCs w:val="1"/>
                <w:color w:val="auto"/>
              </w:rPr>
            </w:pPr>
          </w:p>
        </w:tc>
      </w:tr>
      <w:tr>
        <w:trPr>
          <w:trHeight w:val="194"/>
        </w:trPr>
        <w:tc>
          <w:tcPr>
            <w:tcW w:w="4980" w:type="dxa"/>
            <w:vAlign w:val="bottom"/>
          </w:tcPr>
          <w:p>
            <w:pPr>
              <w:spacing w:after="0"/>
              <w:rPr>
                <w:sz w:val="16"/>
                <w:szCs w:val="16"/>
                <w:color w:val="auto"/>
              </w:rPr>
            </w:pPr>
          </w:p>
        </w:tc>
        <w:tc>
          <w:tcPr>
            <w:tcW w:w="48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transaction. See the sections titled “</w:t>
            </w:r>
            <w:r>
              <w:rPr>
                <w:rFonts w:ascii="Times New Roman" w:cs="Times New Roman" w:eastAsia="Times New Roman" w:hAnsi="Times New Roman"/>
                <w:sz w:val="18"/>
                <w:szCs w:val="18"/>
                <w:color w:val="0000FF"/>
              </w:rPr>
              <w:t>Principal and Selling</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560" w:type="dxa"/>
            <w:vAlign w:val="bottom"/>
            <w:gridSpan w:val="5"/>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Stockholders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color w:val="0000FF"/>
              </w:rPr>
              <w:t>Description of</w:t>
            </w: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80" w:type="dxa"/>
            <w:vAlign w:val="bottom"/>
          </w:tcPr>
          <w:p>
            <w:pPr>
              <w:spacing w:after="0"/>
              <w:rPr>
                <w:sz w:val="13"/>
                <w:szCs w:val="13"/>
                <w:color w:val="auto"/>
              </w:rPr>
            </w:pPr>
          </w:p>
        </w:tc>
        <w:tc>
          <w:tcPr>
            <w:tcW w:w="2560" w:type="dxa"/>
            <w:vAlign w:val="bottom"/>
            <w:gridSpan w:val="5"/>
            <w:vMerge w:val="continue"/>
          </w:tcPr>
          <w:p>
            <w:pPr>
              <w:spacing w:after="0"/>
              <w:rPr>
                <w:sz w:val="13"/>
                <w:szCs w:val="13"/>
                <w:color w:val="auto"/>
              </w:rPr>
            </w:pPr>
          </w:p>
        </w:tc>
        <w:tc>
          <w:tcPr>
            <w:tcW w:w="230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Capital Stock</w:t>
            </w:r>
            <w:r>
              <w:rPr>
                <w:rFonts w:ascii="Times New Roman" w:cs="Times New Roman" w:eastAsia="Times New Roman" w:hAnsi="Times New Roman"/>
                <w:sz w:val="18"/>
                <w:szCs w:val="18"/>
                <w:color w:val="000000"/>
              </w:rPr>
              <w:t>” for additional</w:t>
            </w:r>
          </w:p>
        </w:tc>
        <w:tc>
          <w:tcPr>
            <w:tcW w:w="0" w:type="dxa"/>
            <w:vAlign w:val="bottom"/>
          </w:tcPr>
          <w:p>
            <w:pPr>
              <w:spacing w:after="0"/>
              <w:rPr>
                <w:sz w:val="1"/>
                <w:szCs w:val="1"/>
                <w:color w:val="auto"/>
              </w:rPr>
            </w:pPr>
          </w:p>
        </w:tc>
      </w:tr>
      <w:tr>
        <w:trPr>
          <w:trHeight w:val="228"/>
        </w:trPr>
        <w:tc>
          <w:tcPr>
            <w:tcW w:w="4980" w:type="dxa"/>
            <w:vAlign w:val="bottom"/>
          </w:tcPr>
          <w:p>
            <w:pPr>
              <w:spacing w:after="0"/>
              <w:rPr>
                <w:sz w:val="19"/>
                <w:szCs w:val="19"/>
                <w:color w:val="auto"/>
              </w:rPr>
            </w:pPr>
          </w:p>
        </w:tc>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information.</w:t>
            </w:r>
          </w:p>
        </w:tc>
        <w:tc>
          <w:tcPr>
            <w:tcW w:w="50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980" w:type="dxa"/>
            <w:vAlign w:val="bottom"/>
            <w:tcBorders>
              <w:top w:val="single" w:sz="8" w:color="0000FF"/>
            </w:tcBorders>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Concentration of ownership</w:t>
            </w: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Upon the completion of this offering, our executive officers and</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directors, and their affiliates, will beneficially own, in the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4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aggregate, approximately 73.1% of our outstanding shares of</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48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common stock, representing approximately 92.0% of the voting</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48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power of our outstanding shares of common stock (or 71.3%</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4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w w:val="99"/>
              </w:rPr>
              <w:t>and 91.4%, respectively, if the underwriters exercise their option to</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48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purchase additional shares of our Series A common stock from the</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co-founder trusts in full).</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for a discussion of factors you</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80" w:type="dxa"/>
            <w:vAlign w:val="bottom"/>
          </w:tcPr>
          <w:p>
            <w:pPr>
              <w:spacing w:after="0"/>
              <w:rPr>
                <w:sz w:val="13"/>
                <w:szCs w:val="13"/>
                <w:color w:val="auto"/>
              </w:rPr>
            </w:pPr>
          </w:p>
        </w:tc>
        <w:tc>
          <w:tcPr>
            <w:tcW w:w="486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should carefully consider before deciding to invest in our Series A</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27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Proposed trading symbol</w:t>
            </w: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“PTRN”</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80"/>
        <w:spacing w:after="0" w:line="266" w:lineRule="auto"/>
        <w:rPr>
          <w:sz w:val="20"/>
          <w:szCs w:val="20"/>
          <w:color w:val="auto"/>
        </w:rPr>
      </w:pPr>
      <w:r>
        <w:rPr>
          <w:rFonts w:ascii="Times New Roman" w:cs="Times New Roman" w:eastAsia="Times New Roman" w:hAnsi="Times New Roman"/>
          <w:sz w:val="18"/>
          <w:szCs w:val="18"/>
          <w:color w:val="auto"/>
        </w:rPr>
        <w:t>The number of shares of our Series A and Series B common stock that will be outstanding after this offering is based on 143,602,879 shares of our Series A common stock and 21,702,512 shares of our Series B common stock outstanding as of June 30, 2025, in each case, after giving effect to the Reclassifications and the Convertible Preferred Stock Conversion (each as defined below) and excludes:</w:t>
      </w:r>
    </w:p>
    <w:p>
      <w:pPr>
        <w:spacing w:after="0" w:line="122" w:lineRule="exact"/>
        <w:rPr>
          <w:sz w:val="20"/>
          <w:szCs w:val="20"/>
          <w:color w:val="auto"/>
        </w:rPr>
      </w:pPr>
    </w:p>
    <w:p>
      <w:pPr>
        <w:jc w:val="both"/>
        <w:ind w:left="1320" w:right="160" w:hanging="322"/>
        <w:spacing w:after="0" w:line="266"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7,497,095 shares of our Series A common stock that are issuable in connection with the settlement of RSUs issued pursuant to our 2019 Equity Incentive Plan (the “2019 Plan”) upon the satisfaction of both a service-based condition and a liquidity event condition outstanding as of the date of this prospectus, for which the</w:t>
      </w:r>
    </w:p>
    <w:p>
      <w:pPr>
        <w:sectPr>
          <w:pgSz w:w="11900" w:h="16838" w:orient="portrait"/>
          <w:cols w:equalWidth="0" w:num="1">
            <w:col w:w="10580"/>
          </w:cols>
          <w:pgMar w:left="32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320" w:top="117"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162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20" w:right="280"/>
        <w:spacing w:after="0" w:line="282" w:lineRule="auto"/>
        <w:rPr>
          <w:sz w:val="20"/>
          <w:szCs w:val="20"/>
          <w:color w:val="auto"/>
        </w:rPr>
      </w:pPr>
      <w:r>
        <w:rPr>
          <w:rFonts w:ascii="Times New Roman" w:cs="Times New Roman" w:eastAsia="Times New Roman" w:hAnsi="Times New Roman"/>
          <w:sz w:val="18"/>
          <w:szCs w:val="18"/>
          <w:color w:val="auto"/>
        </w:rPr>
        <w:t>service-based condition was not yet satisfied as of the date of this prospectus and for which the liquidity event condition was satisfied in connection with this offering;</w:t>
      </w:r>
    </w:p>
    <w:p>
      <w:pPr>
        <w:spacing w:after="0" w:line="108" w:lineRule="exact"/>
        <w:rPr>
          <w:sz w:val="20"/>
          <w:szCs w:val="20"/>
          <w:color w:val="auto"/>
        </w:rPr>
      </w:pPr>
    </w:p>
    <w:p>
      <w:pPr>
        <w:ind w:left="1320" w:right="60" w:hanging="322"/>
        <w:spacing w:after="0" w:line="25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12,345,407 shares of our Series A common stock reserved for future issuance under our 2025 Equity Incentive Plan (the “2025 Plan”), which became effective on the day prior to the effectiveness of the registration statement of which this prospectus forms a part, including 8,742,802 new shares and the number of shares (not to exceed 12,345,407 shares) (i) that remain available for grant of future awards under the 2019 Plan, at the time the 2025 Plan becomes effective, which shares will cease to be available for issuance under the 2019 Plan at such time, and (ii) any shares underlying awards granted under the 2019 Plan that are forfeited, cancelled, held back, reacquired or are otherwise terminated; and</w:t>
      </w:r>
    </w:p>
    <w:p>
      <w:pPr>
        <w:spacing w:after="0" w:line="133" w:lineRule="exact"/>
        <w:rPr>
          <w:rFonts w:ascii="Times New Roman" w:cs="Times New Roman" w:eastAsia="Times New Roman" w:hAnsi="Times New Roman"/>
          <w:sz w:val="18"/>
          <w:szCs w:val="18"/>
          <w:color w:val="auto"/>
        </w:rPr>
      </w:pPr>
    </w:p>
    <w:p>
      <w:pPr>
        <w:ind w:left="1320" w:right="20" w:hanging="322"/>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3,086,351 shares of our Series A common stock reserved for future issuance under our 2025 Employee Stock Purchase Plan (the “ESPP”) which became effective on the day prior to the effectiveness of the registration statement of which this prospectus forms a part.</w:t>
      </w:r>
    </w:p>
    <w:p>
      <w:pPr>
        <w:spacing w:after="0" w:line="122" w:lineRule="exact"/>
        <w:rPr>
          <w:sz w:val="20"/>
          <w:szCs w:val="20"/>
          <w:color w:val="auto"/>
        </w:rPr>
      </w:pPr>
    </w:p>
    <w:p>
      <w:pPr>
        <w:ind w:left="680" w:right="40"/>
        <w:spacing w:after="0" w:line="281" w:lineRule="auto"/>
        <w:rPr>
          <w:sz w:val="20"/>
          <w:szCs w:val="20"/>
          <w:color w:val="auto"/>
        </w:rPr>
      </w:pPr>
      <w:r>
        <w:rPr>
          <w:rFonts w:ascii="Times New Roman" w:cs="Times New Roman" w:eastAsia="Times New Roman" w:hAnsi="Times New Roman"/>
          <w:sz w:val="17"/>
          <w:szCs w:val="17"/>
          <w:color w:val="auto"/>
        </w:rPr>
        <w:t>Each of the 2025 Plan and the ESPP provide for annual automatic increases in the number of shares of our Series A common stock reserved thereunder, and the 2025 Plan provides for increases to the number of shares of our Series A common stock that may be granted thereunder based on shares underlying any awards under the 2025 Plan and the 2019 Plan that are forfeited, cancelled or are otherwise terminated, as more fully described in the section titled “Executive Compensation—Employee Benefit and Equity Compensation Plans.”</w:t>
      </w:r>
    </w:p>
    <w:p>
      <w:pPr>
        <w:spacing w:after="0" w:line="1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71" w:lineRule="exact"/>
        <w:rPr>
          <w:sz w:val="20"/>
          <w:szCs w:val="20"/>
          <w:color w:val="auto"/>
        </w:rPr>
      </w:pPr>
    </w:p>
    <w:p>
      <w:pPr>
        <w:ind w:left="1320" w:right="620" w:hanging="322"/>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107" w:lineRule="exact"/>
        <w:rPr>
          <w:rFonts w:ascii="Times New Roman" w:cs="Times New Roman" w:eastAsia="Times New Roman" w:hAnsi="Times New Roman"/>
          <w:sz w:val="18"/>
          <w:szCs w:val="18"/>
          <w:color w:val="auto"/>
        </w:rPr>
      </w:pPr>
    </w:p>
    <w:p>
      <w:pPr>
        <w:jc w:val="both"/>
        <w:ind w:left="1320" w:right="40" w:hanging="322"/>
        <w:spacing w:after="0" w:line="266"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15,750,477 outstanding shares of our Series A Preferred Stock into an equal number of shares of our existing common stock, the conversion of which will occur immediately prior to the completion of this offering (the “Series A Preferred Stock Conversion”);</w:t>
      </w:r>
    </w:p>
    <w:p>
      <w:pPr>
        <w:spacing w:after="0" w:line="121" w:lineRule="exact"/>
        <w:rPr>
          <w:rFonts w:ascii="Times New Roman" w:cs="Times New Roman" w:eastAsia="Times New Roman" w:hAnsi="Times New Roman"/>
          <w:sz w:val="18"/>
          <w:szCs w:val="18"/>
          <w:color w:val="auto"/>
        </w:rPr>
      </w:pPr>
    </w:p>
    <w:p>
      <w:pPr>
        <w:ind w:left="1320" w:right="60" w:hanging="322"/>
        <w:spacing w:after="0" w:line="255"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13,215,614 outstanding shares of our Series B Preferred Stock into an aggregate of 32,129,234 shares of our existing common stock immediately prior to the completion of this offering, based on the initial public offering price of $14.00 per share, after giving effect to certain anti-dilution adjustments dependent on the initial public offering price pursuant to the terms of our amended and restated certificate of incorporation as currently in effect (the “Series B Preferred Stock Conversion” and, together with the Series A Preferred Stock Conversion, the “Convertible Preferred Stock Conversion”). For more information on the conversion adjustment provisions applicable to our Series B Preferred Stock, see the section titled “Capitalization—Series B Preferred Stock Conversion”;</w:t>
      </w:r>
    </w:p>
    <w:p>
      <w:pPr>
        <w:spacing w:after="0" w:line="134" w:lineRule="exact"/>
        <w:rPr>
          <w:rFonts w:ascii="Times New Roman" w:cs="Times New Roman" w:eastAsia="Times New Roman" w:hAnsi="Times New Roman"/>
          <w:sz w:val="18"/>
          <w:szCs w:val="18"/>
          <w:color w:val="auto"/>
        </w:rPr>
      </w:pPr>
    </w:p>
    <w:p>
      <w:pPr>
        <w:ind w:left="1320" w:right="80" w:hanging="322"/>
        <w:spacing w:after="0" w:line="261"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our Series A and Series B common stock and the reclassification of our outstanding existing common stock into an equivalent number of shares of our Series A common stock (including shares of our existing common stock issued automatically upon the Convertible Preferred Stock Conversion immediately prior to the completion of this offering) (the “Common Stock Reclassification”);</w:t>
      </w:r>
    </w:p>
    <w:p>
      <w:pPr>
        <w:spacing w:after="0" w:line="125" w:lineRule="exact"/>
        <w:rPr>
          <w:rFonts w:ascii="Times New Roman" w:cs="Times New Roman" w:eastAsia="Times New Roman" w:hAnsi="Times New Roman"/>
          <w:sz w:val="18"/>
          <w:szCs w:val="18"/>
          <w:color w:val="auto"/>
        </w:rPr>
      </w:pPr>
    </w:p>
    <w:p>
      <w:pPr>
        <w:ind w:left="1320" w:hanging="322"/>
        <w:spacing w:after="0" w:line="254"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17,797,821 shares of our Founder Voting Preferred Stock into an aggregate of 21,702,512 shares of our Series B common stock, and the reclassification of 68,994,553 shares of our Founder Non-Voting Preferred Stock into an aggregate of 84,131,371 shares of our Series A common stock, based on the initial public offering price of $14.00 per share, after giving effect to certain anti-dilution adjustments dependent on the initial public offering price pursuant to the terms of our amended and restated certificate of incorporation as currently in effect and to certain transfers by the co-founder trusts to our co-founders (the “Founder Preferred Stock Reclassifications” and, together with the Common Stock Reclassification, the “Reclassifications”). For more information on the conversion adjustment provisions applicable to our Founder Preferred Stock, see the section titled “Capitalization—Founder Preferred Stock Adjustments”;</w:t>
      </w:r>
    </w:p>
    <w:p>
      <w:pPr>
        <w:sectPr>
          <w:pgSz w:w="11900" w:h="16838" w:orient="portrait"/>
          <w:cols w:equalWidth="0" w:num="1">
            <w:col w:w="10580"/>
          </w:cols>
          <w:pgMar w:left="32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320" w:top="117"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1812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81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20" w:hanging="322"/>
        <w:spacing w:after="0" w:line="258"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issuance of 7,793,017 shares of our Series A common stock issuable pursuant to the vesting and settlement of (i) 12,533,691 RSUs for which the service-based condition was satisfied as of June 30, 2025, and (ii) an additional 1,065,121 RSUs for which the service-based condition was satisfied as of the date of this prospectus, and for which the liquidity event condition for each of (i) and (ii) was satisfied in connection with this offering (based on an assumed 42.7% tax withholding rate) (the “RSU Net Settlement”); and</w:t>
      </w:r>
    </w:p>
    <w:p>
      <w:pPr>
        <w:spacing w:after="0" w:line="129" w:lineRule="exact"/>
        <w:rPr>
          <w:rFonts w:ascii="Times New Roman" w:cs="Times New Roman" w:eastAsia="Times New Roman" w:hAnsi="Times New Roman"/>
          <w:sz w:val="18"/>
          <w:szCs w:val="18"/>
          <w:color w:val="auto"/>
        </w:rPr>
      </w:pPr>
    </w:p>
    <w:p>
      <w:pPr>
        <w:ind w:left="1320" w:right="60" w:hanging="322"/>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up to an additional 3,214,285 shares of Series A common stock from the co-founder trusts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320" w:top="117"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333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175" w:lineRule="exact"/>
        <w:rPr>
          <w:sz w:val="20"/>
          <w:szCs w:val="20"/>
          <w:color w:val="auto"/>
        </w:rPr>
      </w:pPr>
    </w:p>
    <w:p>
      <w:pPr>
        <w:ind w:left="680"/>
        <w:spacing w:after="0" w:line="253" w:lineRule="auto"/>
        <w:rPr>
          <w:sz w:val="20"/>
          <w:szCs w:val="20"/>
          <w:color w:val="auto"/>
        </w:rPr>
      </w:pPr>
      <w:r>
        <w:rPr>
          <w:rFonts w:ascii="Times New Roman" w:cs="Times New Roman" w:eastAsia="Times New Roman" w:hAnsi="Times New Roman"/>
          <w:sz w:val="18"/>
          <w:szCs w:val="18"/>
          <w:color w:val="auto"/>
        </w:rPr>
        <w:t>The following tables summarize our historical consolidated financial and other data for the periods and dates indicated. We derived the summary historical consolidated statements of operations and comprehensive loss data for the years ended December 31, 2022, 2023 and 2024 from our audited consolidated financial statements included elsewhere in this prospectus. The summary consolidated statements of operations data for the six months ended June 30, 2024 and 2025 and the summary consolidated balance sheet data as of June 30, 2025 have been derived from our unaudited interim consolidated financial statements included elsewhere in this prospectus. The unaudited interim consolidated financial statements were prepared on a basis consistent with our audited consolidated financial statements included elsewhere in this prospectus, and, in the opinion of management, reflect all adjustments, consisting only of normal recurring adjustments, that are necessary for the fair statement of such data. Our results for any interim period are not necessarily indicative of the results that may be expected for any other future period. Our historical results are not necessarily indicative of the results that may be expected in the future.</w:t>
      </w:r>
    </w:p>
    <w:p>
      <w:pPr>
        <w:spacing w:after="0" w:line="140" w:lineRule="exact"/>
        <w:rPr>
          <w:sz w:val="20"/>
          <w:szCs w:val="20"/>
          <w:color w:val="auto"/>
        </w:rPr>
      </w:pPr>
    </w:p>
    <w:p>
      <w:pPr>
        <w:ind w:left="680" w:right="260"/>
        <w:spacing w:after="0" w:line="281" w:lineRule="auto"/>
        <w:rPr>
          <w:sz w:val="20"/>
          <w:szCs w:val="20"/>
          <w:color w:val="auto"/>
        </w:rPr>
      </w:pPr>
      <w:r>
        <w:rPr>
          <w:rFonts w:ascii="Times New Roman" w:cs="Times New Roman" w:eastAsia="Times New Roman" w:hAnsi="Times New Roman"/>
          <w:sz w:val="17"/>
          <w:szCs w:val="17"/>
          <w:color w:val="auto"/>
        </w:rPr>
        <w:t>You should read the following summary consolidated financial and other data below in conjunction with the sections titled “Risk Factors,” “Capitalization,” “Management’s Discussion and Analysis of Financial Condition and Results of Operations” and our consolidated financial statements and related notes included elsewhere in this prospectus. The summary consolidated financial data in this section are not intended to replace, and are qualified in their entirety by, the consolidated financial statements and related notes.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7"/>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 Data: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990,535</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1,796,161</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841,301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1,138,556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Cost of goods sold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1,014,812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645,933</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Operations, general and administrative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203,768</w:t>
            </w:r>
          </w:p>
        </w:tc>
        <w:tc>
          <w:tcPr>
            <w:tcW w:w="0" w:type="dxa"/>
            <w:vAlign w:val="bottom"/>
          </w:tcPr>
          <w:p>
            <w:pPr>
              <w:spacing w:after="0"/>
              <w:rPr>
                <w:sz w:val="1"/>
                <w:szCs w:val="1"/>
                <w:color w:val="auto"/>
              </w:rPr>
            </w:pPr>
          </w:p>
        </w:tc>
      </w:tr>
      <w:tr>
        <w:trPr>
          <w:trHeight w:val="195"/>
        </w:trPr>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337,672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217,220</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12,098</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986,414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1,313,632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1,708,979</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794,897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1,079,019</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52,785</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87,182</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59,537</w:t>
            </w:r>
          </w:p>
        </w:tc>
        <w:tc>
          <w:tcPr>
            <w:tcW w:w="0" w:type="dxa"/>
            <w:vAlign w:val="bottom"/>
          </w:tcPr>
          <w:p>
            <w:pPr>
              <w:spacing w:after="0"/>
              <w:rPr>
                <w:sz w:val="1"/>
                <w:szCs w:val="1"/>
                <w:color w:val="auto"/>
              </w:rPr>
            </w:pPr>
          </w:p>
        </w:tc>
      </w:tr>
      <w:tr>
        <w:trPr>
          <w:trHeight w:val="189"/>
        </w:trPr>
        <w:tc>
          <w:tcPr>
            <w:tcW w:w="3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62,613</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16,030</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460"/>
              <w:spacing w:after="0" w:line="127" w:lineRule="exact"/>
              <w:rPr>
                <w:sz w:val="20"/>
                <w:szCs w:val="20"/>
                <w:color w:val="auto"/>
              </w:rPr>
            </w:pPr>
            <w:r>
              <w:rPr>
                <w:rFonts w:ascii="Times New Roman" w:cs="Times New Roman" w:eastAsia="Times New Roman" w:hAnsi="Times New Roman"/>
                <w:sz w:val="14"/>
                <w:szCs w:val="14"/>
                <w:color w:val="auto"/>
              </w:rPr>
              <w:t>Income allocable to participating Series A Preferred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5,578</w:t>
            </w:r>
          </w:p>
        </w:tc>
        <w:tc>
          <w:tcPr>
            <w:tcW w:w="0" w:type="dxa"/>
            <w:vAlign w:val="bottom"/>
          </w:tcPr>
          <w:p>
            <w:pPr>
              <w:spacing w:after="0"/>
              <w:rPr>
                <w:sz w:val="1"/>
                <w:szCs w:val="1"/>
                <w:color w:val="auto"/>
              </w:rPr>
            </w:pPr>
          </w:p>
        </w:tc>
      </w:tr>
      <w:tr>
        <w:trPr>
          <w:trHeight w:val="193"/>
        </w:trPr>
        <w:tc>
          <w:tcPr>
            <w:tcW w:w="35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Stock</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Series B Preferred Stock dividend - undeclared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0" w:type="dxa"/>
            <w:vAlign w:val="bottom"/>
          </w:tcPr>
          <w:p>
            <w:pPr>
              <w:spacing w:after="0"/>
              <w:rPr>
                <w:sz w:val="1"/>
                <w:szCs w:val="1"/>
                <w:color w:val="auto"/>
              </w:rPr>
            </w:pPr>
          </w:p>
        </w:tc>
      </w:tr>
      <w:tr>
        <w:trPr>
          <w:trHeight w:val="119"/>
        </w:trPr>
        <w:tc>
          <w:tcPr>
            <w:tcW w:w="3520" w:type="dxa"/>
            <w:vAlign w:val="bottom"/>
          </w:tcPr>
          <w:p>
            <w:pPr>
              <w:ind w:left="240"/>
              <w:spacing w:after="0" w:line="119" w:lineRule="exact"/>
              <w:rPr>
                <w:sz w:val="20"/>
                <w:szCs w:val="20"/>
                <w:color w:val="auto"/>
              </w:rPr>
            </w:pPr>
            <w:r>
              <w:rPr>
                <w:rFonts w:ascii="Times New Roman" w:cs="Times New Roman" w:eastAsia="Times New Roman" w:hAnsi="Times New Roman"/>
                <w:sz w:val="13"/>
                <w:szCs w:val="13"/>
                <w:color w:val="auto"/>
              </w:rPr>
              <w:t>Net (loss) income attributable to common and preferred</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(20,967)</w:t>
            </w:r>
          </w:p>
        </w:tc>
        <w:tc>
          <w:tcPr>
            <w:tcW w:w="3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19,831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42,491</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22,590</w:t>
            </w:r>
          </w:p>
        </w:tc>
        <w:tc>
          <w:tcPr>
            <w:tcW w:w="100" w:type="dxa"/>
            <w:vAlign w:val="bottom"/>
          </w:tcPr>
          <w:p>
            <w:pPr>
              <w:spacing w:after="0"/>
              <w:rPr>
                <w:sz w:val="10"/>
                <w:szCs w:val="10"/>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32,083</w:t>
            </w:r>
          </w:p>
        </w:tc>
        <w:tc>
          <w:tcPr>
            <w:tcW w:w="0" w:type="dxa"/>
            <w:vAlign w:val="bottom"/>
          </w:tcPr>
          <w:p>
            <w:pPr>
              <w:spacing w:after="0"/>
              <w:rPr>
                <w:sz w:val="1"/>
                <w:szCs w:val="1"/>
                <w:color w:val="auto"/>
              </w:rPr>
            </w:pPr>
          </w:p>
        </w:tc>
      </w:tr>
      <w:tr>
        <w:trPr>
          <w:trHeight w:val="171"/>
        </w:trPr>
        <w:tc>
          <w:tcPr>
            <w:tcW w:w="35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stockholders</w:t>
            </w:r>
          </w:p>
        </w:tc>
        <w:tc>
          <w:tcPr>
            <w:tcW w:w="2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520" w:type="dxa"/>
            <w:vAlign w:val="bottom"/>
            <w:shd w:val="clear" w:color="auto" w:fill="CCEEFF"/>
          </w:tcPr>
          <w:p>
            <w:pPr>
              <w:ind w:left="40"/>
              <w:spacing w:after="0" w:line="103" w:lineRule="exact"/>
              <w:rPr>
                <w:sz w:val="20"/>
                <w:szCs w:val="20"/>
                <w:color w:val="auto"/>
              </w:rPr>
            </w:pPr>
            <w:r>
              <w:rPr>
                <w:rFonts w:ascii="Times New Roman" w:cs="Times New Roman" w:eastAsia="Times New Roman" w:hAnsi="Times New Roman"/>
                <w:sz w:val="11"/>
                <w:szCs w:val="11"/>
                <w:color w:val="auto"/>
              </w:rPr>
              <w:t>Net earnings (loss) per share attributable to common and</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38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34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94"/>
        </w:trPr>
        <w:tc>
          <w:tcPr>
            <w:tcW w:w="35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4"/>
                <w:szCs w:val="14"/>
                <w:color w:val="auto"/>
              </w:rPr>
              <w:t>preferred stockholders, basic and diluted</w:t>
            </w:r>
            <w:r>
              <w:rPr>
                <w:rFonts w:ascii="Times New Roman" w:cs="Times New Roman" w:eastAsia="Times New Roman" w:hAnsi="Times New Roman"/>
                <w:sz w:val="18"/>
                <w:szCs w:val="18"/>
                <w:color w:val="auto"/>
                <w:vertAlign w:val="superscript"/>
              </w:rPr>
              <w:t>(1)</w:t>
            </w:r>
          </w:p>
        </w:tc>
        <w:tc>
          <w:tcPr>
            <w:tcW w:w="2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40"/>
              <w:spacing w:after="0" w:line="127" w:lineRule="exact"/>
              <w:rPr>
                <w:sz w:val="20"/>
                <w:szCs w:val="20"/>
                <w:color w:val="auto"/>
              </w:rPr>
            </w:pPr>
            <w:r>
              <w:rPr>
                <w:rFonts w:ascii="Times New Roman" w:cs="Times New Roman" w:eastAsia="Times New Roman" w:hAnsi="Times New Roman"/>
                <w:sz w:val="14"/>
                <w:szCs w:val="14"/>
                <w:color w:val="auto"/>
              </w:rPr>
              <w:t>Weighted average common and preferred shares used 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352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computing net earnings (loss) per share attributable to</w:t>
            </w: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90,644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90,767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90,769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90,591</w:t>
            </w: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line="175" w:lineRule="exact"/>
              <w:rPr>
                <w:sz w:val="20"/>
                <w:szCs w:val="20"/>
                <w:color w:val="auto"/>
              </w:rPr>
            </w:pPr>
            <w:r>
              <w:rPr>
                <w:rFonts w:ascii="Times New Roman" w:cs="Times New Roman" w:eastAsia="Times New Roman" w:hAnsi="Times New Roman"/>
                <w:sz w:val="14"/>
                <w:szCs w:val="14"/>
                <w:color w:val="auto"/>
              </w:rPr>
              <w:t>common and preferred stockholders, basic and diluted</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520" w:type="dxa"/>
            <w:vAlign w:val="bottom"/>
            <w:shd w:val="clear" w:color="auto" w:fill="CCEEFF"/>
          </w:tcPr>
          <w:p>
            <w:pPr>
              <w:ind w:left="40"/>
              <w:spacing w:after="0" w:line="106" w:lineRule="exact"/>
              <w:rPr>
                <w:sz w:val="20"/>
                <w:szCs w:val="20"/>
                <w:color w:val="auto"/>
              </w:rPr>
            </w:pPr>
            <w:r>
              <w:rPr>
                <w:rFonts w:ascii="Times New Roman" w:cs="Times New Roman" w:eastAsia="Times New Roman" w:hAnsi="Times New Roman"/>
                <w:sz w:val="12"/>
                <w:szCs w:val="12"/>
                <w:color w:val="auto"/>
              </w:rPr>
              <w:t>Pro forma net income (loss) attributable to Series A and</w:t>
            </w: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(211,297)</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29,050</w:t>
            </w:r>
          </w:p>
        </w:tc>
        <w:tc>
          <w:tcPr>
            <w:tcW w:w="0" w:type="dxa"/>
            <w:vAlign w:val="bottom"/>
          </w:tcPr>
          <w:p>
            <w:pPr>
              <w:spacing w:after="0"/>
              <w:rPr>
                <w:sz w:val="1"/>
                <w:szCs w:val="1"/>
                <w:color w:val="auto"/>
              </w:rPr>
            </w:pPr>
          </w:p>
        </w:tc>
      </w:tr>
      <w:tr>
        <w:trPr>
          <w:trHeight w:val="191"/>
        </w:trPr>
        <w:tc>
          <w:tcPr>
            <w:tcW w:w="3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B common stockholders, basic and diluted</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40"/>
              <w:spacing w:after="0" w:line="127" w:lineRule="exact"/>
              <w:rPr>
                <w:sz w:val="20"/>
                <w:szCs w:val="20"/>
                <w:color w:val="auto"/>
              </w:rPr>
            </w:pPr>
            <w:r>
              <w:rPr>
                <w:rFonts w:ascii="Times New Roman" w:cs="Times New Roman" w:eastAsia="Times New Roman" w:hAnsi="Times New Roman"/>
                <w:sz w:val="14"/>
                <w:szCs w:val="14"/>
                <w:color w:val="auto"/>
              </w:rPr>
              <w:t>Pro forma net earnings (loss) per share attributable to Series</w:t>
            </w: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52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A and Series B common stockholders, basic (unaudited)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21"/>
        </w:trPr>
        <w:tc>
          <w:tcPr>
            <w:tcW w:w="35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520" w:type="dxa"/>
            <w:vAlign w:val="bottom"/>
            <w:shd w:val="clear" w:color="auto" w:fill="CCEEFF"/>
          </w:tcPr>
          <w:p>
            <w:pPr>
              <w:ind w:left="40"/>
              <w:spacing w:after="0" w:line="106" w:lineRule="exact"/>
              <w:rPr>
                <w:sz w:val="20"/>
                <w:szCs w:val="20"/>
                <w:color w:val="auto"/>
              </w:rPr>
            </w:pPr>
            <w:r>
              <w:rPr>
                <w:rFonts w:ascii="Times New Roman" w:cs="Times New Roman" w:eastAsia="Times New Roman" w:hAnsi="Times New Roman"/>
                <w:sz w:val="12"/>
                <w:szCs w:val="12"/>
                <w:color w:val="auto"/>
              </w:rPr>
              <w:t>Pro forma net earnings (loss) per share attributable to Series</w:t>
            </w: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52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A and Series B common stockholders, diluted</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94"/>
        </w:trPr>
        <w:tc>
          <w:tcPr>
            <w:tcW w:w="352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4"/>
                <w:szCs w:val="14"/>
                <w:color w:val="auto"/>
              </w:rPr>
              <w:t>(unaudited)</w:t>
            </w:r>
            <w:r>
              <w:rPr>
                <w:rFonts w:ascii="Times New Roman" w:cs="Times New Roman" w:eastAsia="Times New Roman" w:hAnsi="Times New Roman"/>
                <w:sz w:val="18"/>
                <w:szCs w:val="18"/>
                <w:color w:val="auto"/>
                <w:vertAlign w:val="superscript"/>
              </w:rPr>
              <w:t>(2)</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3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320" w:top="117" w:right="10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461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46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3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4"/>
        </w:trPr>
        <w:tc>
          <w:tcPr>
            <w:tcW w:w="3540" w:type="dxa"/>
            <w:vAlign w:val="bottom"/>
            <w:tcBorders>
              <w:top w:val="single" w:sz="8" w:color="CCEEFF"/>
            </w:tcBorders>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color w:val="auto"/>
              </w:rPr>
              <w:t>Pro forma weighted average common shares used in</w:t>
            </w:r>
          </w:p>
        </w:tc>
        <w:tc>
          <w:tcPr>
            <w:tcW w:w="1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computing pro forma net earnings (loss) per share</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attributable to Series A and Series B common</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171,111</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171,111</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stockholders, basic (unaudited)</w:t>
            </w:r>
            <w:r>
              <w:rPr>
                <w:rFonts w:ascii="Times New Roman" w:cs="Times New Roman" w:eastAsia="Times New Roman" w:hAnsi="Times New Roman"/>
                <w:sz w:val="9"/>
                <w:szCs w:val="9"/>
                <w:color w:val="auto"/>
              </w:rPr>
              <w:t>(2)</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Pro forma weighted average common shares used in</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computing pro forma net earnings (loss) per share</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4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attributable to Series A and Series B common</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171,111</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177,657</w:t>
            </w:r>
          </w:p>
        </w:tc>
        <w:tc>
          <w:tcPr>
            <w:tcW w:w="0" w:type="dxa"/>
            <w:vAlign w:val="bottom"/>
          </w:tcPr>
          <w:p>
            <w:pPr>
              <w:spacing w:after="0"/>
              <w:rPr>
                <w:sz w:val="1"/>
                <w:szCs w:val="1"/>
                <w:color w:val="auto"/>
              </w:rPr>
            </w:pPr>
          </w:p>
        </w:tc>
      </w:tr>
      <w:tr>
        <w:trPr>
          <w:trHeight w:val="188"/>
        </w:trPr>
        <w:tc>
          <w:tcPr>
            <w:tcW w:w="3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stockholders, diluted (unaudited)</w:t>
            </w:r>
            <w:r>
              <w:rPr>
                <w:rFonts w:ascii="Times New Roman" w:cs="Times New Roman" w:eastAsia="Times New Roman" w:hAnsi="Times New Roman"/>
                <w:sz w:val="9"/>
                <w:szCs w:val="9"/>
                <w:color w:val="auto"/>
              </w:rPr>
              <w:t>(2)</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60" w:hanging="326"/>
        <w:spacing w:after="0" w:line="254" w:lineRule="auto"/>
        <w:tabs>
          <w:tab w:leader="none" w:pos="9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2–Summary of Significant Accounting Polices</w:t>
      </w:r>
      <w:r>
        <w:rPr>
          <w:rFonts w:ascii="Times New Roman" w:cs="Times New Roman" w:eastAsia="Times New Roman" w:hAnsi="Times New Roman"/>
          <w:sz w:val="14"/>
          <w:szCs w:val="14"/>
          <w:color w:val="auto"/>
        </w:rPr>
        <w:t>, in the section titled “Notes to Consolidated Financial Statements” included elsewhere in this prospectus for an explanation of the method used to calculate our basic and diluted net earnings (loss) per share and the weighted average number of shares used in the computation of per share amounts.</w:t>
      </w:r>
    </w:p>
    <w:p>
      <w:pPr>
        <w:spacing w:after="0" w:line="1" w:lineRule="exact"/>
        <w:rPr>
          <w:rFonts w:ascii="Times New Roman" w:cs="Times New Roman" w:eastAsia="Times New Roman" w:hAnsi="Times New Roman"/>
          <w:sz w:val="14"/>
          <w:szCs w:val="14"/>
          <w:color w:val="auto"/>
        </w:rPr>
      </w:pPr>
    </w:p>
    <w:p>
      <w:pPr>
        <w:ind w:left="1000" w:right="60" w:hanging="326"/>
        <w:spacing w:after="0" w:line="261" w:lineRule="auto"/>
        <w:tabs>
          <w:tab w:leader="none" w:pos="9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net earnings used to calculate pro forma net earnings per share reflects the cumulative stock-based compensation expense related to RSUs for which the service-based condition was satisfied as of year ended December 31, 2024 and the six months ended June 30, 2025 and liquidity event vesting conditions was satisfied upon the effectiveness of the registration statement of which this prospectus forms a part. The pro forma weighted-average shares used in computing pro forma net earnings per share for the year ended December 31, 2024 and six months ended June 30, 2025 assumes (i) the RSU Net Settlement and (ii) the Convertible Preferred Stock Conversion as if the conversion occurred on January 1, 2024 and January 1, 2025, respectively. For the purposes of the pro forma calculation, we assumed the liquidity event vesting conditions occurred as of January 1, 2024 and January 1, 2025, respectively. The following table sets forth the computation of unaudited pro forma net income (loss) per share attributable to Series A and Series B common stockholders, basic and diluted, for the periods presented. Pro forma net income (loss) per share attributable to Series A and Series B common stockholders, basic and diluted, for the year ended December 31, 2024 and the six months ended June 30, 2025, gives effect to the pro forma adjustments, as if each had occurred as of the beginning of the period.</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2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attributable to common and preferred stockholders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32,083</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 forma adjustment to reverse the Series B Preferred Stock dividend - undeclared</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0" w:type="dxa"/>
            <w:vAlign w:val="bottom"/>
          </w:tcPr>
          <w:p>
            <w:pPr>
              <w:spacing w:after="0"/>
              <w:rPr>
                <w:sz w:val="1"/>
                <w:szCs w:val="1"/>
                <w:color w:val="auto"/>
              </w:rPr>
            </w:pPr>
          </w:p>
        </w:tc>
      </w:tr>
      <w:tr>
        <w:trPr>
          <w:trHeight w:val="206"/>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 forma adjustment to reverse the income allocable to participating Series A Preferred Stock</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5,578</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 forma adjustment to record deemed dividend for conversion of Series B Preferred Stock</w:t>
            </w:r>
            <w:r>
              <w:rPr>
                <w:rFonts w:ascii="Times New Roman" w:cs="Times New Roman" w:eastAsia="Times New Roman" w:hAnsi="Times New Roman"/>
                <w:sz w:val="9"/>
                <w:szCs w:val="9"/>
                <w:color w:val="auto"/>
              </w:rPr>
              <w:t>(1)</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 forma adjustment to record other expense related to Founder Preferred Stock Reclassifications</w:t>
            </w:r>
            <w:r>
              <w:rPr>
                <w:rFonts w:ascii="Times New Roman" w:cs="Times New Roman" w:eastAsia="Times New Roman" w:hAnsi="Times New Roman"/>
                <w:sz w:val="9"/>
                <w:szCs w:val="9"/>
                <w:color w:val="auto"/>
              </w:rPr>
              <w:t>(2)</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702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4"/>
                <w:szCs w:val="14"/>
                <w:color w:val="auto"/>
              </w:rPr>
              <w:t>Pro forma adjustment to record stock-based compensation expense related to RSUs for which the liquidity event</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(21,626)</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condition was satisfied in connection with this offering</w:t>
            </w: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020" w:type="dxa"/>
            <w:vAlign w:val="bottom"/>
          </w:tcPr>
          <w:p>
            <w:pPr>
              <w:ind w:left="460"/>
              <w:spacing w:after="0" w:line="139" w:lineRule="exact"/>
              <w:rPr>
                <w:sz w:val="20"/>
                <w:szCs w:val="20"/>
                <w:color w:val="auto"/>
              </w:rPr>
            </w:pPr>
            <w:r>
              <w:rPr>
                <w:rFonts w:ascii="Times New Roman" w:cs="Times New Roman" w:eastAsia="Times New Roman" w:hAnsi="Times New Roman"/>
                <w:sz w:val="14"/>
                <w:szCs w:val="14"/>
                <w:color w:val="auto"/>
              </w:rPr>
              <w:t>Pro forma adjustment to record tax benefit from recognition of stock-based compensation expense related to the</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settlement of vested RSUs for which the liquidity event condition was satisfied in connection with this</w:t>
            </w:r>
          </w:p>
        </w:tc>
        <w:tc>
          <w:tcPr>
            <w:tcW w:w="2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offering</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 forma net income (loss) attributable to Series A and Series B common stockholders, basic and diluted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(211,297)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 forma adjustment to reflect the Common Stock Reclassification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195"/>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 forma adjustment to reflect the Series A Preferred Stock Conversion</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 forma adjustment to reflect the Series B Preferred Stock Conversion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32,129</w:t>
            </w:r>
          </w:p>
        </w:tc>
        <w:tc>
          <w:tcPr>
            <w:tcW w:w="0" w:type="dxa"/>
            <w:vAlign w:val="bottom"/>
          </w:tcPr>
          <w:p>
            <w:pPr>
              <w:spacing w:after="0"/>
              <w:rPr>
                <w:sz w:val="1"/>
                <w:szCs w:val="1"/>
                <w:color w:val="auto"/>
              </w:rPr>
            </w:pPr>
          </w:p>
        </w:tc>
      </w:tr>
      <w:tr>
        <w:trPr>
          <w:trHeight w:val="195"/>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 forma adjustment to reflect the settlement of vested RSUs as of the date of this prospectus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 forma adjustment to reflect the Founder Preferred Stock 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105,835</w:t>
            </w:r>
          </w:p>
        </w:tc>
        <w:tc>
          <w:tcPr>
            <w:tcW w:w="0" w:type="dxa"/>
            <w:vAlign w:val="bottom"/>
          </w:tcPr>
          <w:p>
            <w:pPr>
              <w:spacing w:after="0"/>
              <w:rPr>
                <w:sz w:val="1"/>
                <w:szCs w:val="1"/>
                <w:color w:val="auto"/>
              </w:rPr>
            </w:pPr>
          </w:p>
        </w:tc>
      </w:tr>
      <w:tr>
        <w:trPr>
          <w:trHeight w:val="116"/>
        </w:trPr>
        <w:tc>
          <w:tcPr>
            <w:tcW w:w="702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Pro forma weighted average common shares used in computing pro forma net earnings (loss) per share attributable to</w:t>
            </w:r>
          </w:p>
        </w:tc>
        <w:tc>
          <w:tcPr>
            <w:tcW w:w="2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171,111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171,111</w:t>
            </w:r>
          </w:p>
        </w:tc>
        <w:tc>
          <w:tcPr>
            <w:tcW w:w="0" w:type="dxa"/>
            <w:vAlign w:val="bottom"/>
          </w:tcPr>
          <w:p>
            <w:pPr>
              <w:spacing w:after="0"/>
              <w:rPr>
                <w:sz w:val="1"/>
                <w:szCs w:val="1"/>
                <w:color w:val="auto"/>
              </w:rPr>
            </w:pPr>
          </w:p>
        </w:tc>
      </w:tr>
      <w:tr>
        <w:trPr>
          <w:trHeight w:val="201"/>
        </w:trPr>
        <w:tc>
          <w:tcPr>
            <w:tcW w:w="7020" w:type="dxa"/>
            <w:vAlign w:val="bottom"/>
            <w:tcBorders>
              <w:bottom w:val="single" w:sz="8" w:color="CCEEFF"/>
            </w:tcBorders>
          </w:tcPr>
          <w:p>
            <w:pPr>
              <w:ind w:left="400"/>
              <w:spacing w:after="0" w:line="201" w:lineRule="exact"/>
              <w:rPr>
                <w:sz w:val="20"/>
                <w:szCs w:val="20"/>
                <w:color w:val="auto"/>
              </w:rPr>
            </w:pPr>
            <w:r>
              <w:rPr>
                <w:rFonts w:ascii="Times New Roman" w:cs="Times New Roman" w:eastAsia="Times New Roman" w:hAnsi="Times New Roman"/>
                <w:sz w:val="14"/>
                <w:szCs w:val="14"/>
                <w:color w:val="auto"/>
              </w:rPr>
              <w:t>Series A and Series B common stockholders, basic</w:t>
            </w:r>
            <w:r>
              <w:rPr>
                <w:rFonts w:ascii="Times New Roman" w:cs="Times New Roman" w:eastAsia="Times New Roman" w:hAnsi="Times New Roman"/>
                <w:sz w:val="18"/>
                <w:szCs w:val="18"/>
                <w:color w:val="auto"/>
                <w:vertAlign w:val="superscript"/>
              </w:rPr>
              <w:t>(3)</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 forma effect of dilutive securities (RSUs):</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w:t>
            </w:r>
          </w:p>
        </w:tc>
        <w:tc>
          <w:tcPr>
            <w:tcW w:w="0" w:type="dxa"/>
            <w:vAlign w:val="bottom"/>
          </w:tcPr>
          <w:p>
            <w:pPr>
              <w:spacing w:after="0"/>
              <w:rPr>
                <w:sz w:val="1"/>
                <w:szCs w:val="1"/>
                <w:color w:val="auto"/>
              </w:rPr>
            </w:pPr>
          </w:p>
        </w:tc>
      </w:tr>
      <w:tr>
        <w:trPr>
          <w:trHeight w:val="116"/>
        </w:trPr>
        <w:tc>
          <w:tcPr>
            <w:tcW w:w="702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Pro forma weighted average common shares used in computing pro forma net earnings (loss) per share attributable to</w:t>
            </w:r>
          </w:p>
        </w:tc>
        <w:tc>
          <w:tcPr>
            <w:tcW w:w="2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171,111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177,657</w:t>
            </w:r>
          </w:p>
        </w:tc>
        <w:tc>
          <w:tcPr>
            <w:tcW w:w="0" w:type="dxa"/>
            <w:vAlign w:val="bottom"/>
          </w:tcPr>
          <w:p>
            <w:pPr>
              <w:spacing w:after="0"/>
              <w:rPr>
                <w:sz w:val="1"/>
                <w:szCs w:val="1"/>
                <w:color w:val="auto"/>
              </w:rPr>
            </w:pPr>
          </w:p>
        </w:tc>
      </w:tr>
      <w:tr>
        <w:trPr>
          <w:trHeight w:val="201"/>
        </w:trPr>
        <w:tc>
          <w:tcPr>
            <w:tcW w:w="7020" w:type="dxa"/>
            <w:vAlign w:val="bottom"/>
            <w:tcBorders>
              <w:bottom w:val="single" w:sz="8" w:color="CCEEFF"/>
            </w:tcBorders>
          </w:tcPr>
          <w:p>
            <w:pPr>
              <w:ind w:left="400"/>
              <w:spacing w:after="0" w:line="201" w:lineRule="exact"/>
              <w:rPr>
                <w:sz w:val="20"/>
                <w:szCs w:val="20"/>
                <w:color w:val="auto"/>
              </w:rPr>
            </w:pPr>
            <w:r>
              <w:rPr>
                <w:rFonts w:ascii="Times New Roman" w:cs="Times New Roman" w:eastAsia="Times New Roman" w:hAnsi="Times New Roman"/>
                <w:sz w:val="14"/>
                <w:szCs w:val="14"/>
                <w:color w:val="auto"/>
              </w:rPr>
              <w:t>Series A and Series B common stockholders, diluted</w:t>
            </w:r>
            <w:r>
              <w:rPr>
                <w:rFonts w:ascii="Times New Roman" w:cs="Times New Roman" w:eastAsia="Times New Roman" w:hAnsi="Times New Roman"/>
                <w:sz w:val="18"/>
                <w:szCs w:val="18"/>
                <w:color w:val="auto"/>
                <w:vertAlign w:val="superscript"/>
              </w:rPr>
              <w:t>(4)</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 forma net earnings (loss) per share attributable to Series A and Series B common stockholders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1000" w:right="80" w:hanging="326"/>
        <w:spacing w:after="0" w:line="254" w:lineRule="auto"/>
        <w:tabs>
          <w:tab w:leader="none" w:pos="9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adjustment for the deemed dividend gives effect to the closing of this offering and is calculated based on the initial public offering price of $14.00 per share. See “Capitalization—Series B Preferred Stock Conversion.”</w:t>
      </w:r>
    </w:p>
    <w:p>
      <w:pPr>
        <w:ind w:left="1000" w:right="320" w:hanging="326"/>
        <w:spacing w:after="0" w:line="278" w:lineRule="auto"/>
        <w:tabs>
          <w:tab w:leader="none" w:pos="9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adjustment gives effect to the filing and effectiveness of our amended and restated certificate of incorporation in August 2025 which modified the terms of the Founder Voting and Non-Voting Preferred Stock as described in the section “Capitalization—</w:t>
      </w:r>
    </w:p>
    <w:p>
      <w:pPr>
        <w:sectPr>
          <w:pgSz w:w="11900" w:h="16838" w:orient="portrait"/>
          <w:cols w:equalWidth="0" w:num="1">
            <w:col w:w="10560"/>
          </w:cols>
          <w:pgMar w:left="3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320" w:top="117" w:right="10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7556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55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0" w:right="220"/>
        <w:spacing w:after="0" w:line="271" w:lineRule="auto"/>
        <w:rPr>
          <w:sz w:val="20"/>
          <w:szCs w:val="20"/>
          <w:color w:val="auto"/>
        </w:rPr>
      </w:pPr>
      <w:r>
        <w:rPr>
          <w:rFonts w:ascii="Times New Roman" w:cs="Times New Roman" w:eastAsia="Times New Roman" w:hAnsi="Times New Roman"/>
          <w:sz w:val="14"/>
          <w:szCs w:val="14"/>
          <w:color w:val="auto"/>
        </w:rPr>
        <w:t>Founder Preferred Stock Adjustments.” The pro forma adjustment represents management’s current estimate, which is subject to completion of our final valuation procedures.</w:t>
      </w:r>
    </w:p>
    <w:p>
      <w:pPr>
        <w:ind w:left="1000" w:right="280" w:hanging="326"/>
        <w:spacing w:after="0" w:line="256" w:lineRule="auto"/>
        <w:tabs>
          <w:tab w:leader="none" w:pos="99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weighted average common shares used in computing pro forma net earnings per share attributable to Series A and Series B common stockholders, basic includes 149,408,674 shares of Series A common stock and 21,702,512 shares of Series B common stock as of June 30, 2025, after giving effect to the Reclassifications and the Convertible Preferred Stock Conversion.</w:t>
      </w:r>
    </w:p>
    <w:p>
      <w:pPr>
        <w:spacing w:after="0" w:line="1" w:lineRule="exact"/>
        <w:rPr>
          <w:rFonts w:ascii="Times New Roman" w:cs="Times New Roman" w:eastAsia="Times New Roman" w:hAnsi="Times New Roman"/>
          <w:sz w:val="14"/>
          <w:szCs w:val="14"/>
          <w:color w:val="auto"/>
        </w:rPr>
      </w:pPr>
    </w:p>
    <w:p>
      <w:pPr>
        <w:ind w:left="1000" w:right="280" w:hanging="326"/>
        <w:spacing w:after="0" w:line="270" w:lineRule="auto"/>
        <w:tabs>
          <w:tab w:leader="none" w:pos="99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weighted average common shares used in computing pro forma net earnings per share attributable to Series A and Series B common stockholders, diluted includes 155,954,964 shares of Series A common stock and 21,702,512 shares of Series B common stock as of June 30, 2025, after giving effect to the Reclassifications and the Convertible Preferred Stock Conversion.</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1"/>
                <w:szCs w:val="11"/>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Pro Forma</w:t>
            </w:r>
            <w:r>
              <w:rPr>
                <w:rFonts w:ascii="Times New Roman" w:cs="Times New Roman" w:eastAsia="Times New Roman" w:hAnsi="Times New Roman"/>
                <w:sz w:val="18"/>
                <w:szCs w:val="18"/>
                <w:b w:val="1"/>
                <w:bCs w:val="1"/>
                <w:color w:val="auto"/>
                <w:w w:val="97"/>
                <w:vertAlign w:val="superscript"/>
              </w:rPr>
              <w:t>(1)</w:t>
            </w:r>
          </w:p>
        </w:tc>
        <w:tc>
          <w:tcPr>
            <w:tcW w:w="180" w:type="dxa"/>
            <w:vAlign w:val="bottom"/>
          </w:tcPr>
          <w:p>
            <w:pPr>
              <w:spacing w:after="0"/>
              <w:rPr>
                <w:sz w:val="11"/>
                <w:szCs w:val="11"/>
                <w:color w:val="auto"/>
              </w:rPr>
            </w:pPr>
          </w:p>
        </w:tc>
        <w:tc>
          <w:tcPr>
            <w:tcW w:w="122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268,472</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393,961</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805,465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286,634</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518,831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20" w:hanging="326"/>
        <w:spacing w:after="0" w:line="259" w:lineRule="auto"/>
        <w:tabs>
          <w:tab w:leader="none" w:pos="9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above gives effect to (i) the filing and effectiveness of our amended and restated certificate of incorporation in Delaware and the adoption of our amended and restated bylaws, which will occur immediately prior to the completion of this offering; (ii) the Reclassifications, (iii) the Convertible Preferred Stock Conversion; (iv) the RSU Net Settlement; (v) the increase in other accrued liabilities and an equivalent decrease in additional paid-in capital in connection with tax withholding and remittance obligations related to the RSU Net Settlement; (vi) $72.7 million of cumulative share-based compensation expense related to the RSUs for which the service-based condition was satisfied as of June 30, 2025 (adjusted for forfeitures through the date of this prospectus), and for which the liquidity event condition was satisfied upon the effectiveness of the registration statement of which this prospectus forms a part and (vii) $39.9 million of cumulative tax benefit related to RSUs for which the service-based condition was satisfied as of June 30, 2025 (adjusted for forfeitures through the date of this prospectus) and for which the liquidity event condition was satisfied in connection with this offering.</w:t>
      </w:r>
    </w:p>
    <w:p>
      <w:pPr>
        <w:ind w:left="1000" w:right="160" w:hanging="326"/>
        <w:spacing w:after="0" w:line="254" w:lineRule="auto"/>
        <w:tabs>
          <w:tab w:leader="none" w:pos="9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column above gives further effect to (i) the pro forma adjustments set forth above and (ii) the sale by us of 10,714,286 shares of Series A common stock in this offering at the initial public offering price of $14.00 per share, after deducting underwriting fees and commissions and estimated offering expenses payable by us.</w:t>
      </w:r>
    </w:p>
    <w:p>
      <w:pPr>
        <w:spacing w:after="0" w:line="1" w:lineRule="exact"/>
        <w:rPr>
          <w:rFonts w:ascii="Times New Roman" w:cs="Times New Roman" w:eastAsia="Times New Roman" w:hAnsi="Times New Roman"/>
          <w:sz w:val="14"/>
          <w:szCs w:val="14"/>
          <w:color w:val="auto"/>
        </w:rPr>
      </w:pPr>
    </w:p>
    <w:p>
      <w:pPr>
        <w:ind w:left="1000" w:right="580" w:hanging="326"/>
        <w:spacing w:after="0" w:line="283" w:lineRule="auto"/>
        <w:tabs>
          <w:tab w:leader="none" w:pos="9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total current assets less total current liabilities. See our consolidated financial statements and the related notes thereto included elsewhere in this prospectus for further details regarding our current assets and current liabilities.</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Business Metric and Non-GAAP Financial Measure</w:t>
      </w:r>
    </w:p>
    <w:p>
      <w:pPr>
        <w:spacing w:after="0" w:line="175" w:lineRule="exact"/>
        <w:rPr>
          <w:sz w:val="20"/>
          <w:szCs w:val="20"/>
          <w:color w:val="auto"/>
        </w:rPr>
      </w:pPr>
    </w:p>
    <w:p>
      <w:pPr>
        <w:ind w:left="680" w:right="180"/>
        <w:spacing w:after="0" w:line="255"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business metric and non-GAAP measure. The following table presents our non-GAAP financial measure, along with the most directly comparable GAAP measure, for each period presented below. In addition to our results determined in accordance with GAAP, we believe that Adjusted EBITDA, a non-GAAP financial measure, is useful in evaluating our operational performance. We believe that the key business metric and non-GAAP financial measure, together with GAAP financial measures, such as revenue and net (loss) income, are useful to assess near-term and long-term performance of our overall business, including identifying trends, formulating financial projections, making strategic decisions, assessing operational efficiencies and monitoring our business.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40"/>
              <w:spacing w:after="0" w:line="229" w:lineRule="exact"/>
              <w:rPr>
                <w:sz w:val="20"/>
                <w:szCs w:val="20"/>
                <w:color w:val="auto"/>
              </w:rPr>
            </w:pPr>
            <w:r>
              <w:rPr>
                <w:rFonts w:ascii="Times New Roman" w:cs="Times New Roman" w:eastAsia="Times New Roman" w:hAnsi="Times New Roman"/>
                <w:sz w:val="18"/>
                <w:szCs w:val="18"/>
                <w:color w:val="auto"/>
              </w:rPr>
              <w:t>Net Revenue Retention Rate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67,856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35,457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46,583</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17,727</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51,907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68,935</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80" w:hanging="326"/>
        <w:spacing w:after="0" w:line="261" w:lineRule="auto"/>
        <w:tabs>
          <w:tab w:leader="none" w:pos="9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in the section titled “Management’s Discussion and Analysis of Financial Condition and Results of Operations—Key Business Metric and Non-GAAP Financial Measure” for information on how we define and calculate this key business metric.</w:t>
      </w:r>
    </w:p>
    <w:p>
      <w:pPr>
        <w:ind w:left="1000" w:right="240" w:hanging="326"/>
        <w:spacing w:after="0" w:line="262" w:lineRule="auto"/>
        <w:tabs>
          <w:tab w:leader="none" w:pos="9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See the section titled “Management’s Discussion and Analysis of Financial Condition and Results of Operations—Key Business Metric and Non-GAAP Financial Measure” for additional information on our non-GAAP financial measure and a reconciliation to the most comparable GAAP measure.</w:t>
      </w:r>
    </w:p>
    <w:p>
      <w:pPr>
        <w:sectPr>
          <w:pgSz w:w="11900" w:h="16838" w:orient="portrait"/>
          <w:cols w:equalWidth="0" w:num="1">
            <w:col w:w="10560"/>
          </w:cols>
          <w:pgMar w:left="3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320" w:top="117"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7136130" cy="2190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19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right="20"/>
        <w:spacing w:after="0" w:line="266" w:lineRule="auto"/>
        <w:rPr>
          <w:sz w:val="20"/>
          <w:szCs w:val="20"/>
          <w:color w:val="auto"/>
        </w:rPr>
      </w:pPr>
      <w:r>
        <w:rPr>
          <w:rFonts w:ascii="Times New Roman" w:cs="Times New Roman" w:eastAsia="Times New Roman" w:hAnsi="Times New Roman"/>
          <w:sz w:val="18"/>
          <w:szCs w:val="18"/>
          <w:color w:val="auto"/>
        </w:rPr>
        <w:t>We believe NRR is an key business metric to measure the long-term value of our brand partner relationships. This metric, expressed as a percentage, provides valuable insight into the accelerated growth delivered through our platform, the effectiveness of our brand expansion strategies and our ability to deepen relationships with existing brand partners.</w:t>
      </w:r>
    </w:p>
    <w:p>
      <w:pPr>
        <w:spacing w:after="0" w:line="122"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8"/>
          <w:szCs w:val="18"/>
          <w:color w:val="auto"/>
        </w:rPr>
        <w:t>We believe the non-GAAP financial measure presented here is useful to investors in assessing the operating performance of our business without the effect of non-cash items and other items as detailed below and elsewhere in this prospectus. The non-GAAP financial measure should not be considered in isolation or as alternatives to net (loss) income or any other measure of financial performance calculated and prescribed in accordance with GAAP.</w:t>
      </w:r>
    </w:p>
    <w:p>
      <w:pPr>
        <w:spacing w:after="0" w:line="126" w:lineRule="exact"/>
        <w:rPr>
          <w:sz w:val="20"/>
          <w:szCs w:val="20"/>
          <w:color w:val="auto"/>
        </w:rPr>
      </w:pPr>
    </w:p>
    <w:p>
      <w:pPr>
        <w:ind w:left="680"/>
        <w:spacing w:after="0" w:line="312" w:lineRule="auto"/>
        <w:rPr>
          <w:sz w:val="20"/>
          <w:szCs w:val="20"/>
          <w:color w:val="auto"/>
        </w:rPr>
      </w:pPr>
      <w:r>
        <w:rPr>
          <w:rFonts w:ascii="Times New Roman" w:cs="Times New Roman" w:eastAsia="Times New Roman" w:hAnsi="Times New Roman"/>
          <w:sz w:val="17"/>
          <w:szCs w:val="17"/>
          <w:color w:val="auto"/>
        </w:rPr>
        <w:t>Our non-GAAP financial measure may not be comparable to similarly titled measures in other organizations because other organizations may not calculate non-GAAP financial measures in the same manner as we do, thus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20"/>
          </w:cols>
          <w:pgMar w:left="320" w:top="117" w:right="10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Series A common stock involves a high degree of risk. You should carefully consider the risks and uncertainties described below, together with all of the other information in this prospectus, before making a decision to invest in our Series A common stock. If any of these risks actually occur, our business, results of operations, financial condition and prospects could be materially adversely affected. In that event, the trading price of our Series A common stock could decline, and you could lose part or all of your investment. Certain statements contained in the risk factors described below are forward-looking statements. See the section titled “Special Note Regarding Forward-Looking Statements” for more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is dependent upon maintaining our relationship with Amazon and other marketplaces and our failure to do so, or any restrictions on our ability to offer brand partners’ products on Amazon and other marketplaces, could have an adverse impact on our business, financial condition and results of operations.</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depend almost entirely on our relationship with marketplaces for generating revenue and growth. In particular, we depend on our ability to offer products on Amazon. For the year ended December 31, 2024, we derived 94% of our revenue from consumer product sales on Amazon. Amazon accounted for over 75% of the total U.S. marketplace retail sales in 2024.</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In the last three fiscal years, the United States accounted for a substantial majority of our total revenue. Any adverse change in our relationship with Amazon, including restrictions on the ability to offer products, termination of the relationship or disruption of Amazon’s business or operations because of litigation, regulatory or other proceedings, could adversely affect our continued growth, financial condition and results of operations.</w:t>
      </w:r>
    </w:p>
    <w:p>
      <w:pPr>
        <w:spacing w:after="0" w:line="14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also depend on our ability to offer products on other marketplaces, such as Walmart, Target, Tmall, JD, eBay, TikTok Shop, Mercado Libre, Zolando, Kohl’s, Kroger, Macy’s and others. Marketplaces on which we sell our brand partners’ products may materially affect our sales and operating results if we don’t timely and adequately resolve account-related issues, including if such marketplaces:</w:t>
      </w:r>
    </w:p>
    <w:p>
      <w:pPr>
        <w:spacing w:after="0" w:line="12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suspend our accounts;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or delay our shipments;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us or our brand partners from listing products;</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strategic shifts that impair our ability to sell products on their marketplace, such as imposing restrictions on our ability to sell in instances where the marketplace has a 1P relationship with the brand;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their policies, including with respect to remittances and payment terms and timing;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or enforce restrictions on website scraping;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one or more APIs such that they are no longer compatible with our technology; and</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their fees, which in turn could raise product prices for customers, making the marketplace a less attractive distribution channel for our brand partners and/or less profitable for us.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relationships with marketplaces are subject to their online terms of use, which are typically “click-through” agreements that we are not able to negotiate with the marketplaces. Generally, our relationships with marketplaces are terminable at will by either party. In addition, the marketplaces on which we sell our brand partners’ products also have significant discretion to change their policies, procedures and terms. Any such changes, or other limitations or restrictions on our ability to sell on a marketplace could have a material impact on our business, financial condition and results of operations. In the past, we have experienced account suspensions, changes in payment terms and increases in marketplace fulfillment fees. We cannot guarantee that similar or other issues will not arise in the future, nor that we will be able to timely and adequately resolve them. The terms of use that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2631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28"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relationships with marketplaces generally mandate that we resolve claims through final and binding arbitration. The rules and policies governing these arbitration proceedings may offer significantly limited rights compared to litigation in federal or state courts. Arbitration may not provide us with all the relief we could obtain outside of arbitration.</w:t>
      </w:r>
    </w:p>
    <w:p>
      <w:pPr>
        <w:spacing w:after="0" w:line="11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technology relies in part on the use of comprehensive marketplace data, and if we lose the ability to use such data, or if such data contain inaccuracies, our business could be adversely affected.</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technology incorporates statistical models built using a variety of data sets. Our technology relies on a diverse range of data sources, including data collected from our customers, brand partners and, in some cases, website scraping, other data collected from marketplaces and other third parties and self-generated data, including novel data generated through machine learning. This data covers a wide variety of signals across millions of products, keywords, brands, consumer behavioral inputs and more, including search, advertising, fulfillment, content conversion rates, ratings and reviews, social media influencers, likes, shares, clicks and comments. Such data may have restrictions on how it may be used, including, for example, restrictions on the collection, use or other processing of data from certain jurisdictions. If we are unable to access and use data collected from our customers, marketplaces, the internet or other third-party data used in our technology, or if our access to such data is limited, for example, due to new or changing laws, rules or regulations or policies of third parties, including marketplaces, our ability to accurately make forecasts and evaluate consumer behavior could be compromised.</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use of data obtained through scraping exposes us to several risks, including legal and regulatory challenges, such as potential violations of intellectual property rights, terms of service and data privacy laws. There is also an ethical and reputational risk if stakeholders perceive the use of scraped data as exploitative or unfair. Scraped data may be flawed or of inconsistent or poor quality, leading to inaccuracies in outputs. Additionally, we face the risk of operational disruption if we are forced to stop using scraped data due to legal issues or third-party actions, as well as the potential for litigation and liability from data providers or individuals whose data was scraped. Lastly, changes in third-party access restrictions or platform policies, including introduction or enforcement of stricter website scraping policies by marketplaces, could limit our ability to source data, hindering the development and effectiveness of our technology. There is no assurance that such measures will fully eliminate potential adverse impacts on our business.</w:t>
      </w:r>
    </w:p>
    <w:p>
      <w:pPr>
        <w:spacing w:after="0" w:line="13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if third-party data used to train and improve our technology is inaccurate, or access to such third-party data is limited, prohibited or becomes unavailable to us, our ability to continue to improve our technology would be adversely affected. Although we believe that there are commercially reasonable alternatives available to the third-party data we currently license, this may not always be the case, or it may be difficult or costly to migrate to other third-party data. Our use of additional or alternative third-party data would require us to enter into license agreements with third parties. In addition, integration of the third-party data used in our technology with new third-party data may require significant work and require substantial investment of our time and resources. Any of the foregoing could negatively impact our business, impair our ability to grow our customers and brand partners, subject us to financial liabilities and adversely affect our business, financial condition and results of operations.</w:t>
      </w:r>
    </w:p>
    <w:p>
      <w:pPr>
        <w:spacing w:after="0" w:line="13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technology, whether real or perceived, including a failure to respond to technological changes or to upgrade our technology systems, may adversely affect our business, financial condition and operating results.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technology to, among other things, manage our inventory supply, purchase products from brand partners, optimize shipments to marketplaces, collect, process and interpret data, bid on advertising and monitor and optimize listings on marketplaces. If our technology cannot scale to meet demand, if there are errors in our execution of any of these functions on our technology or if we experience outages, then our business may be harmed. We may also face material delays in introducing new products to marketplaces or restocking existing products. If competitors introduce new products or services using new technologies or if new industry standards and practices emerge, our existing proprietary technology and systems may become less effective or obsolete.</w:t>
      </w:r>
    </w:p>
    <w:p>
      <w:pPr>
        <w:spacing w:after="0" w:line="1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technology is complex and multifaceted, and operational and performance issues could arise both from the technology itself and from outside factors. Errors, failures, vulnerabilities or bugs have been found in the past,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may be found in the future. Our technology also relies on third-party technology and systems to perform properly, and our technology is often used in connection with computing environments utilizing different operating systems, system management software, equipment and networking configurations, which may cause errors in, or failures of, our technology or such other computing environments. Operational and performance issues with our technology could include the failure of our user interface, outages, errors during upgrades or patches, unanticipated volume overwhelming our databases, server failure or catastrophic events affecting one or more server locations. While we have built redundancies in our systems, full redundancies do not exist. Some failures will shut our technology down completely, others only partially.</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Operational and performance issues with our technology could also result in negative publicity, damage to our brand and reputation, loss of or delay in market acceptance of our technology, increased costs or loss of revenue, loss of the ability to access our technology, loss of competitive position or claims by brand partners for losses sustained by them. Alleviating problems resulting from such issues could require significant expenditures of capital and other resources and could cause interruptions, delays or the cessation of our business, any of which may adversely affect our financial condition and operating results.</w:t>
      </w:r>
    </w:p>
    <w:p>
      <w:pPr>
        <w:spacing w:after="0" w:line="1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introduce new features or solutions successfully and to make enhancements to existing solutions, our ability to grow and operate our business could be adversely affected.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attract new brand partners and increase revenue depends in large part on our ability to enhance and improve our existing solutions and to introduce new features or solutions. To grow our business and be competitive, we must develop solutions, features and functionality that reflect the constantly evolving nature of technology and the needs of potential brand partners and our existing brand partners. The success of these and other enhancements or developments depend on several factors, including their timely introduction and completion, sufficient demand and cost effectiveness. For example, the development of AI and machine learning technologies and products (collectively, “AI Technologies”) that replace our combination of specialized expertise and technological tools could harm our business and make our solutions less durable. It is difficult to accurately predict the adoption of new features or solutions, and related shifts in consumer behavior, as well as our recent rapid growth and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solutions or to enhance our existing solutions or otherwise overcome technological challenges and competing technologies to gain market acceptance, then our business and results of operations will be adversely affected.</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source additional, or strengthen our existing relationships with, brand partners, and the loss of any significant brand partners would negatively impact our business.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purchase significant amounts of products from our brand partners and there can be no assurance that our current brand partners will maintain or increase these amounts or otherwise be able to accommodate our anticipated growth or continue to supply current quantities at current prices. An inability of our existing brand partners to provide products in a timely or cost-effective manner, including as a result of low inventories or supply chain challenges, could affect our revenue and materially and adversely affect our business, financial condition and results of operations. A variety of factors outside our control, including, failure by brand partners to effectively promote products or manage regulatory changes, negative publicity or damage to our brand partners’ reputation, product recalls, deterioration in product quality, changes in consumer preferences or trends, supply chain disruptions experienced by brand partners, availability of better or more affordable alternatives or technological advancements and innovation, could negatively affect our ability to strengthen our existing relationships with brand partners. For the year ended December 31, 2024, the health and wellness category accounted for 63% of our inventory purchases. For the year ended December 31, 2024, two brand partners in the health and wellness category accounted for 17% and 11% of our inventory purchases and contributed significantly to our growth in recent periods. The loss of these or any of our other significant brand partners or any change in pricing structure or volume with brand partners, including with respect to the health and wellness category, would have a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attract quality brand partners, we must:</w:t>
      </w:r>
    </w:p>
    <w:p>
      <w:pPr>
        <w:spacing w:after="0" w:line="17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seamless, consistent and low-friction collaboration model of acquiring inventory from brand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unique and scaled data assets;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differentiated insights into producing traffic, conversion, price and availability insights, including by investing in and improving our AI Technologies, that we use to make data-driven decisions;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technology that delivers brand partners a superior return on advertising spend;</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enhance operations and fulfillment capabilities that leverage Pattern’s scale to minimize logistics and shipping costs associated with inbounding products to marketplaces;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 team of industry experts across marketing, fulfillment, customer service, brand protection and marketplace management;</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scale to provide comprehensive solutions across marketing, fulfillment, customer service and marketplace management on a global basis;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convert existing demand into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consistent and cohesive brand positioning and customer experience across all ecommerce channels;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one-time customers to repeat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internationally;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high-quality customer service.</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continually seek to expand our base of brand partners and to identify new products. If we are unable to identify or enter into agreements with new brand partners or to replace the loss of any of our existing brand partners, we may experience a competitive disadvantage, our business may be disrupted and our business, financial condition and results of operations may be adversely affected. Although we have long-term agreements with certain significant brand partners that do not permit termination for convenience, a substantial portion of our brand partner agreements provide termination for convenience upon 60 days’ notice.</w:t>
      </w:r>
    </w:p>
    <w:p>
      <w:pPr>
        <w:spacing w:after="0" w:line="1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rely on our brand partners’ contractual obligations to us, including with respect to reimbursing us for any advertising costs incurred in selling such brand partners’ products, performing their obligations with respect to promotions and buybacks, enforcing exclusivity provisions in our contracts, enforcing policies against unauthorized sellers and indemnifying us in connection with product recalls and liabilities. The insolvency of brand partners, including through bankruptcy, has in the past, and may in the future, impact our ability to collect amounts owed to us. We cannot control whether another seller of our brand partners’ products sells at a lower price than us or if brand partners fail to maintain a pricing or brand equity strategy across all distribution channels. If customers choose to purchase the product in another distribution channel, this could lead to lost sales revenue for us. Further, brand partners could also reduce their advertising spend at their discretion. In addition, disputes with respect to intellectual property of our brand partners could restrict our ability to list or sell the affected products on marketplaces. Any of the foregoing could materially and adversely affect our business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 of the gross merchandise value of potential additional brand partners may prove to be inaccurate.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estimate of the GMV of potential additional brand partners contained in this prospectus is based on industry publications and reports or other publicly available information as well as our management’s estimates and extrapolations. This estimate is based on the expected merchandise value of all products estimated to be sold by brands that have products offered on marketplaces in 2024 in the geographies where we operate. It involves a number of assumptions and limitations, is subject to significant uncertainty, and you are cautioned not to give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undue weight. While we believe our assumptions and the data underlying our estimate are reasonable, these assumptions may not be correct, and the conditions supporting our assumptions may change at any time, thereby reducing the predictive accuracy of these underlying factors. As a result, our estimate may prove to be incorrect. Further, there can be no assurance that we will pursue, engage or enter into agreements with any of these brands or that we will be able to monetize any or all of the GMV of these brands, which could materially and adversely affect our growth prospects,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co-founders and senior management team.</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future success depends on the continuing efforts of our senior management team, including our co-founders, David Wright, our Chief Executive Officer, and Melanie Alder, our Chief Strategy Officer. We rely on the leadership, knowledge and experience that our senior management team provides. They foster our corporate culture, which has been instrumental in our ability to attract and retain new talent. The market for such positions is intensely competitive, which could increase our costs to attract and retain talented individuals. As a result, we may incur significant costs to attract and retain executive officers and other senior management personnel, including significant expenditures related to salaries and benefits and compensation expenses related to equity awards.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The loss of one or more of our executive officers or other key employees, especially our co-founders, including due to a leave of absence for medical reasons or otherwise, or the failure by our senior management team to effectively work together or with our employees and lead our company, or our inability to attract and retain highly skilled employees could have an adverse effect on our business, financial condition and operating results. We do not maintain key man life insurance with respect to any executive officer, including our co-founders.</w:t>
      </w:r>
    </w:p>
    <w:p>
      <w:pPr>
        <w:spacing w:after="0" w:line="1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highly-skilled personnel to grow and operate our business, and if we are unable to hire, retain and motivate our personnel, we may not be able to grow effectively.</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future success will depend, in part, upon our continued ability to identify and hire skilled personnel with the skills and technical knowledge that we require, including software design and programming, marketing, sales, brand management, data science, AI, operations, international commerce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with new products and brand partners and in new territories. We may lose new employees to our competitors or other companies before we realize the benefit of our investment in recruiting and training them. In addition to hiring new employees, we must continue to focus on developing, motivating and retaining our best employees across the globe, most of whom are at-will employees. If we fail to identify, recruit and integrate strategic personnel hires, our business, financial condition and results of operations could be adversely affected. Further, inflationary pressure may result in employee attrition to the extent our compensation does not keep up with inflation. Additionally, the failure to continue hiring new personnel or the loss of any significant number of our existing key personnel could harm our business, financial condition and results of operations.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We have a number of current employees who hold equity in our company or whose equity awards are or will become substantially vested upon the completion of this offering. As a result, it may be difficult for us to continue to retain and motivate these employees, and the value of their holdings could affect their decisions about whether or not they continue to work for us. If the perceived value of our equity awards declines or experiences significant volatility (including as valuations of companies comparable to us decline due to overall market trends, inflation and related market effects or otherwise) such that prospective and existing employees believe there is limited upside to the value of our equity awards, it may adversely affect our ability to recruit and retain key employees or result in us granting additional equity awards, which would result in additional stock-based compensation expense and further dilution to our stockholders. Our ability to attract, retain and motivate employees may be adversely affected by declines in the market price of our Series A common stock. Additionally, we have less experience with recruiting in geographies outside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20" w:top="117"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States and may face additional challenges in attracting and retaining international employees. If we are not able to effectively add and retain employees, our ability to achieve our strategic objectives will be adversely impacted, and our business and future growth prospects will be harmed.</w:t>
      </w:r>
    </w:p>
    <w:p>
      <w:pPr>
        <w:spacing w:after="0" w:line="104"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the services of David Wright, our Chief Executive Officer and co-founder, and Melanie Alder, our Chief Strategy Officer and co-founder, who are married to each other. The separation or divorce of our co-founders in the future could adversely affect our business.</w:t>
      </w:r>
    </w:p>
    <w:p>
      <w:pPr>
        <w:spacing w:after="0" w:line="8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We are highly dependent on the services of David Wright, our Chief Executive Officer and co-founder, and Melanie Alder, our Chief Strategy Officer and co-founder, who are married to each other. If Mr. Wright or Ms. Alder were to discontinue their service to us due to death, disability or any other reason, or if they were to become separated or divorced or could otherwise not amicably work with each other, we would be significantly disadvantaged. In addition, their work performance may not be satisfactory if they become preoccupied with personal matters. Mr. Wright and Ms. Alder, through their beneficial ownership of all of our Series B common stock, together with the Series A common stock held by their affiliated co-founder trusts, control approximately 86.5% of the total combined voting power of our capital stock. Mr. Wright and Ms. Alder expect to enter into a co-founder voting agreement in connection with this offering pursuant to which each of them will grant each other a voting proxy with respect to their individual and affiliated entities’ (other than the co-founder trusts) shares of our common stock, representing approximately 73.8% of the voting power of our common stock, and agree to vote their shares</w:t>
      </w:r>
    </w:p>
    <w:p>
      <w:pPr>
        <w:ind w:right="40" w:firstLine="8"/>
        <w:spacing w:after="0" w:line="251"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election or re-election of each of the co-founders that have been duly nominated for election or re-election as members of our board of directors at each annual or special meeting of stockholders at which directors are to be elected, (b) against the removal of each co-founder at any annual meeting or special meeting of stockholders at which any co-founder is to be removed from our board of directors and (c) at the written direction of the applicable co-founder proxy holder (as defined below) at any annual or special meeting of stockholders with respect to any other matters properly brought before such meeting for which their shares are entitled to vote. The applicable “co-founder proxy holder” shall be either Mr. Wright or Ms. Alder in alternative annual periods during which any applicable annual or special meeting is held. However, if Mr. Wright and Ms. Alder become separated or divorced, a court may refuse to enforce or terminate the co-founder voting agreement, and Mr. Wright and Ms. Alder could elect to terminate the co-founder voting agreement voluntarily at any time. As a result, if neither one of them individually controls more than 50% of the voting power of our capital stock we could lose our “controlled company” status. Further, their interests may diverge as a result of divorce or separation. In these cases, our business could be materially harmed.</w:t>
      </w:r>
    </w:p>
    <w:p>
      <w:pPr>
        <w:spacing w:after="0" w:line="13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fund our research and development efforts, we may not be able to compete effectively and our business and operating results may be harmed.</w:t>
      </w:r>
    </w:p>
    <w:p>
      <w:pPr>
        <w:spacing w:after="0" w:line="105"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enhance the features of our technology. Maintaining adequate research and development personnel and resources to meet the demands of the market is essential. If we are unable to develop our technology due to certain constraints, such as high employee turnover, lack of management ability or a lack of other research and development resources, we may miss market opportunities. Further, many of our competitors expend a considerable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future success will depend on our ability to improve the function, performance and reliability of our technology. The development of new and upgraded solutions involves a significant amount of time for our research and development team, as it can take our developers months to update, code and test new and upgraded software and integrate them into our technology. The introduction of new and upgraded design features and software also involves a significant amount of marketing spending. We must also manage our existing technology, as we continually test, grow and use our technology to support the distribution of our brand partners’ products. Our revenues and competitive position could be materially and adversely affected if we fail to improve our design features or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forecast consumer demand, manage our inventory and plan for future expenses, our business, financial condition and results of operations could be adversely affected.</w:t>
      </w:r>
    </w:p>
    <w:p>
      <w:pPr>
        <w:spacing w:after="0" w:line="10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base our current and future inventory needs and expense levels on our operating forecasts and estimates of future consumer demand. To ensure adequate inventory supply, we must be able to forecast inventory needs and expenses and place orders sufficiently in advance with our brand partners based on our estimates of future consumer demand for the products we sell. Failure to accurately forecast demand may result in inefficient inventory supply or increased costs. This risk may be exacerbated by the fact that we may not carry a sufficient amount of inventory and may not be able to satisfy short-term demand increases. Accordingly, if we fail to accurately forecast customer demand, we may experience excess inventory levels, a shortage of products available for sale and loss of profits. Inventory levels in excess of customer demand may result in inventory write-downs or write-offs or the sale of excess inventory at suboptimal prices, which would cause our operating results to suffer. Conversely, if we underestimate customer demand, including as a result of unanticipated growth, our brand partners may not be able to deliver products to meet our requirements, and we may be subject to higher costs in order to secure the necessary production capacity or we may incur increased shipping costs. An inability to meet customer demand and delays in the delivery of our brand partners’ products to our customers could result in reputational harm for our brand partners, damage our customer relationships and brand partner relationships, harm our cash flows and prospects for growth and have an adverse effect on our business, financial condition and results of operations.</w:t>
      </w:r>
    </w:p>
    <w:p>
      <w:pPr>
        <w:spacing w:after="0" w:line="12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we devote significant attention to forecasting efforts, the volume, timing and value of the orders we receive are inherently uncertain. In addition, we cannot be sure growth rates, trends and other key performance metrics are meaningful predictors of future growth. Our business, as well as our ability to forecast demand, is also affected by general global economic and business conditions and the degree of consumer confidence in future economic conditions, and we anticipate that our ability to forecast demand due to these types of factors will be increasingly affected by conditions in international markets.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our recent growth rates may not be indicative of our future growth.</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not always able to accurately forecast our growth rate. We base our expense levels and investment plans on revenue estimates. A significant portion of our expenses and investments are fixed, and we are not always able to adjust our spending quickly enough if our revenue is less than expected.</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revenue growth may not be sustainable, and our growth rates may decrease. Our revenue and profitable growth depends on the continued growth of demand for our brand partners’ products and our solutions, and our business is affected by, among other things, general economic, business and geopolitical conditions worldwide. A softening of demand, whether caused by a weakening of the United States or global economies, may result in decreased revenue or growth.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and operating results will also fluctuate for many other reasons, including due to factors described elsewhere in this section and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Solutions</w:t>
      </w:r>
    </w:p>
    <w:p>
      <w:pPr>
        <w:spacing w:after="0" w:line="17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process and interpret comprehensive ecommerce and consumer data;</w:t>
      </w:r>
    </w:p>
    <w:p>
      <w:pPr>
        <w:spacing w:after="0" w:line="171"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global team of industry experts across marketing, fulfillment, customer service, data science, software development, marketplace compliance and marketplace management;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reliability and integrity of our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effectiveness and costs of expansion and upgrades to our software;</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use of our technology is affected by spyware, viruses, phishing and other spam emails, denial of service attacks, data theft, computer intrusions, outages and similar events;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technology and infrastructure, fulfillment and shipping capabilities and other expense categories.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Partners</w:t>
      </w:r>
    </w:p>
    <w:p>
      <w:pPr>
        <w:spacing w:after="0" w:line="17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network of brand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mid-market brand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brand partners into new geographies;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brand partners in new and existing geographies, segments and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partners’ discretionary advertising spend allocated to the products we sell;</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accelerate products effectively, including by maintaining or increasing our margins, so that we are able to attract and retain brand partners without compromising profitability;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our software-as-a-service (“SaaS”) solutions.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Customers and Marketplaces</w:t>
      </w:r>
    </w:p>
    <w:p>
      <w:pPr>
        <w:spacing w:after="0" w:line="17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trends and preferences;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geographic, solutions, product and category expansions;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products on favorable terms and manage order fulfillment and our inventory;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returns for the products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mix of products and services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category sales volume or prices of specific products or categories, including with respect to health and wellness;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sales to existing customers, including with respect to health and wellness products, attract new customers and satisfy customer demands and preferences;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service levels and consistent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usage or adoption rates of the internet, ecommerce, electronic devices and web services, including outside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against our current and future competition, including the introduction of competitive ecommerce acceleration, marketplace stores, products, point software solutions, services, price decreases or improvements;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trends away from ecommerce to brick-and-mortar;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ongoing antitrust investigations and actions initiated against marketplaces.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and Regulations</w:t>
      </w:r>
    </w:p>
    <w:p>
      <w:pPr>
        <w:spacing w:after="0" w:line="175" w:lineRule="exact"/>
        <w:rPr>
          <w:sz w:val="20"/>
          <w:szCs w:val="20"/>
          <w:color w:val="auto"/>
        </w:rPr>
      </w:pPr>
    </w:p>
    <w:p>
      <w:pPr>
        <w:ind w:left="660" w:right="44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and expansion of trade restrictions, the occurrence of a trade war or other restrictive governmental action related to tariffs or trade agreements or policies, including between the United States and China;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and new applicable laws and regulations, including changing tax rates and tariffs;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117"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or marketplace policies that restrict the sale of specific categories, including health and wellness;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proceedings and claims, which may include significant monetary damages or injunctive relief and could have a material adverse impact on our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left="660" w:right="3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fixed costs in a timely manner to address any unexpected revenue shortfalls, including those arising from weakened global economic conditions and negative consumer confidence regarding future economic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amounts owed to us when they become due;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existing technologies or industry trends which restrict online advertising, affect our ability to customize advertising or otherwise optimize our technology;</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unique culture of innovation, brand partner obsession and long-term thinking, which has been critical to our growth and success;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financing, and the terms of any such financing, for our current operations and future growth;</w:t>
      </w:r>
    </w:p>
    <w:p>
      <w:pPr>
        <w:spacing w:after="0" w:line="17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our reputation or brand image (including any actual or perceived inability to achieve our goals or commitments, whether related to brand partners, customers, employees or other topics), and public perceptions regarding social or ethical issues related to our development and use of AI Technologies;</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and increases in the prices of transportation (including fuel), resources such as land, water and energy, commodities like paper, packing supplies, hardware products and technology infrastructure products, including as a result of inflationary pressures;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constrained labor markets, which increase our payroll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business, financial condition and results of operations could be materially and adversely affected.</w:t>
      </w:r>
    </w:p>
    <w:p>
      <w:pPr>
        <w:spacing w:after="0" w:line="17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To manage our growth effectively, we must continue to implement our operational plans and strategies, improve and expand our infrastructure of people and information systems and expand, train and manage our employee base. We have rapidly increased employee headcount since our inception to support the growth in our business. To support our continued growth, we must effectively integrate, develop and motivate a large number of new employees. We face significant competition for personnel, including in the Cincinnati, Ohio and Las Vegas, Nevada areas for warehouse labor. We face challenges to find and attract talent in the Lehi, Utah area, where our headquarters are located. In addition, we rely on our talent center in Pune, India to provide scalable technical support. We could face a significant increase in competition and costs to hire technical personnel in India. Failure to manage our hiring needs effectively or successfully integrate our new hires may have a material adverse effect on our business, financial condition and results of operations.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support our growth, we expect to make significant sales and marketing expenditures to increase our revenue, increase awareness of our brand partners and introduce additional brand partners’ products. We expect to incur significant research and development expenses to increase the functionality of our technology. A significant portion of our investments in our sales and marketing and research and development activities will precede the benefits from such investments, and we cannot be sure that we will receive an adequate return on our investments. In the future, we may shift significant resources to SaaS solutions. Brand partners might choose to subscribe to these SaaS solutions instead of using our ecommerce acceleration solution. However, we cannot guarantee that SaaS solutions will generate sufficient revenue and profitability to offset any loss of opportunities from our ecommerce acceleration solution. Consequently, this shift could adversely affect our revenue and growth. You should not consider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 growth and levels of profitability in recent periods as indicative of future performance. In future periods, our revenue or profitability could decline or grow more slowly than we expect.</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the growth of our business places significant demands on our management and other employees. We are required to manage relationships with a growing number of brand partners, customers and other third parties. Our information technology systems and our internal controls and procedures may not be adequate to support future growth of our customer or brand partner base. If we are unable to manage the growth of our organization effectively, our business, financial condition and results of operations may be materially and adversely affected.</w:t>
      </w:r>
    </w:p>
    <w:p>
      <w:pPr>
        <w:spacing w:after="0" w:line="12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small number of third-party service providers to host or support a significant portion of our business, and any loss of or interruptions or delays in services from these third parties could impair the delivery of our solutions and harm our business.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currently host and support our operations using third-party service providers, including Amazon Web Services. We also rely on a small number of third-party service providers including SaaS platforms to operate critical functions of our business, including payment processing, collection of comprehensive ecommerce and consumer data, data storage services, cloud-based data warehousing and content creation. We do not have control over the operations of the facilities of the hosting providers that we use, and these third-party operations may experience break-ins, computer viruses, denial-of-service or other cyber-attacks, sabotage, acts of vandalism and other misconduct.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onboard new brand partners or expand the products offered to consumers,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technology for any of the foregoing reasons would negatively impact our ability to perform critical business functions and could damage our reputation with consumers and brand partners, expose us to liability, cause us to lose brand partners, increase our expenses, negatively impact our ability to manage sales of our brand partners’ products and access or save data stored to the cloud, which could otherwise harm our business. We may also incur significant costs for using alternative equipment or taking other actions in preparation for, or in reaction to, events that damage the third-party service providers we use.</w:t>
      </w:r>
    </w:p>
    <w:p>
      <w:pPr>
        <w:spacing w:after="0" w:line="14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changes in our hosting providers’ service levels may adversely affect our ability to meet the expectations of brand partners and customers. Our systems do not provide complete redundancy of data storage or processing, and as a result, the occurrence of any such event, a decision by our third-party service providers to close their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solutions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In addition, if we are unable to scale our data storage and computational capacity sufficiently or on commercially reasonable terms, our ability to innovate and introduce new products may be delayed or compromised, which would have an adverse effect on our growth and business.</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we rely on third parties engaged by our brand partners to prevent unauthorized sellers from distributing their products. If these third parties fail to prevent unauthorized selling or are no longer able to provide these services or fail to sufficiently provide these services, it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be unable to sustain profitability or generate profitable growth in the future.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Although we generated net income in prior periods, including net income of $67.9 million and $41.3 million for the years ended December 31, 2024 and 2023, respectively, we have experienced net losses in prior periods, including a net loss of $3.0 million for the year ended December 31, 2022. We may not maintain profitability in the future. We will need to sustain or increase revenue while managing our costs to sustain or increase profitability.</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efforts to maintain and increase our profitability may not succeed due to factors such as increased costs due to inaccurate sales forecasting, inaccurate inventory forecasting and impairment charges for write-downs of goodwill, intangible assets, investments and other long-lived assets. As we continue to innovate and expand our solutions, we may initially harm our profitability. In addition, as a public company, we will incur significant legal, accounting and other expenses that we did not incur as a private company. Further, our revenue growth may slow or our revenue may decline for a number of reasons, including those described in these “Risk Factors.”</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properly develop, invest in and manage AI Technologies used in our solutions, our business, financial condition and results of operations could be materially adversely affected.</w:t>
      </w:r>
    </w:p>
    <w:p>
      <w:pPr>
        <w:spacing w:after="0" w:line="1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incorporated, and expect in the future we will continue to incorporate, AI Technologies into our solutions. We power our solutions with AI Technologies that help us and our brand partners achieve data insights faster. For example, we leverage machine learning algorithms in certain features to aid brand partners in analyzing their product data.</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solutions or business, including our efficiency or profitability.</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AI Technologies licensed from third parties to power our technology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spacing w:after="0" w:line="1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including AI Technologies,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continue to use and integrate AI Technologies into our business processes, and this innovation presents risks and challenges that could affect its adoption, and therefore our business. Uncertainty around new and emerging AI applications such as generative AI content creation may require additional investment in the development of proprietary data sets, machine learning models and systems to test for accuracy, bias and other variables, which are often complex, development of new approaches and processes to provide attribution or remuneration to content creators and building systems that enable creatives to have greater control over the use of their work in the development of AI Technologies, which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brand partners or others use this flawed content to their detriment, we may be exposed to brand or reputational harm, competitive harm or legal liability. Developing, testing and deploying AI Technologies may also increase our costs due to the nature of the compute power costs involved in such systems.</w:t>
      </w:r>
    </w:p>
    <w:p>
      <w:pPr>
        <w:spacing w:after="0" w:line="1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enable or offer solutions that draw controversy due to perceived or actual negative societal impact, we may experience brand or reputational harm, competitive harm or legal liability. Additionally, we expect to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increasing government and supranational regulation related to AI use and ethics, which may also significantly increase the burden and cost of research, development and compliance in this area. For example, the European Union’s Artificial Intelligence Act (“AI Act”) — the world’s first comprehensive AI law — entered into force in August 2024 and, with some exceptions, will begin to apply as of August 2, 2026. This legislation imposes significant obligations on providers and deployers of high-risk AI systems, and encourages providers and deployers of AI systems to account for European Union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AI will require the application of significant resources to design, develop, test and maintain our solutions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confidential, sensitive, proprietary and business and personal information (collectively,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3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changes in marketplace return or refund policies, our ability to recover return or refund reimbursements, brand contractual arrangements or delays in processing returns or refunds could harm our business.</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Typically, marketplaces reimburse us for any loss or damage to products while those products are in marketplace control. We are responsible for the risk associated with customer product returns or refunds. However, most of our brand partners are contractually obligated to reimburse us for any products that customers damage or return, but we are responsible for billing for such reimbursements. Any change in marketplace policies, our ability to bill or recover reimbursement costs or our brand partners’ agreements with us regarding these reimbursements could adversely impact our profits. We and our brand partners would be adversely affected by an uptick in customer returns. Additionally, we are dependent on the marketplaces to track and process these reimbursements. Any deficiencies in the marketplaces’ ability to process these reimbursements could impact our profits. If product returns or refunds are significant or higher than anticipated and forecasted, our business, financial condition and results of operations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product liability claims when people or property are harmed by the products we sell.</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the products we sell expose us to product liability claims relating to personal injury, illness, death or environmental or property damage, including, but not limited to, those that may arise from off-label use, malfunctions, design flaws or manufacturing defects related to our brand partners’ products or the use of our brand partners’ products with incompatible components or systems. In addition, as we continue to expand our product mix, we may enter or create new markets which may expose us to additional product liability risks. Regardless of the merits or eventual outcome, liability claims may result in decreased demand for our current or future products, injury to our reputation, costs to defend the related litigation, a diversion of management’s time and our resources, substantial monetary awards to customers, regulatory investigations, product recalls, withdrawals or labeling, marketing or promotional restrictions, loss of revenue and the inability to sell our current or any future products.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While our agreements with brand partners stipulate that they list us as an additional insured on their insurance policies and indemnify us against all product liability claims, we also maintain our own insurance policies to cover such claims. Additionally, certain marketplaces reimburse our customers for certain product liability claims up to certain limits pursuant to their policies. Failure by third parties to fulfill their contractual obligations regarding insurance coverage and indemnification could lead to legal actions or claims against us, potentially resulting in financial losses. Additionally, we may incur expenses, or be subject to liability, related to the transportation, storage or disposal of our brand partners’ products including under any federal, state, local and foreign laws and regulations. Although we maintain liability insurance, we cannot be certain that our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Food and Drug Administration (“FDA”), does not pre-approve products or the labeling of certain products we sell, so it has not approved, nor has it reviewed or approved any claims our brand partners make related to our brand partners’ products. If the FDA or any other governmental authority were to take issue with any of the ingredients used in our brand partners’ products, the claims brand partners make about their products or other aspects of our brand partners’ product labeling, such as components of their facts panel, or require that they change or cease making certain claims or otherwise alter marketing strategy, we may be unable to sell our inventory and we could experience a material adverse effect on our business, financial condition, results of operations and cash flows.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versions of our brand partners’ products or the unauthorized diversion by third parties of our brand partners’ products could have an adverse effect on our revenue and a negative impact on our reputation and business.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Third parties have in the past and may in the future illegally distribute and sell counterfeit versions of our brand partners’ products. These counterfeit products may be inferior in terms of quality and other characteristics compared to our original products and the counterfeit products could pose safety risks that our original products would not otherwise present to consumers. Consumers could confuse counterfeit products with brand partners’ original products. All of these events, separate or combined, could damage or diminish the image, reputation or value of us and our brand partners and cause customers to refrain from purchasing the products we sell in the future, which could adversely affect our reputation, business, financial condition and results of operations.</w:t>
      </w:r>
    </w:p>
    <w:p>
      <w:pPr>
        <w:spacing w:after="0" w:line="129"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successfully drive digital traffic to our product listings on marketplaces. We may not be able to maintain and enhance our product listings if we receive unfavorable customer complaints, negative publicity or otherwise fail to live up to customer expectations, which could materially adversely affect our business, results of operations and growth prospects.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Maintaining and enhancing our product listings is critical in expanding and growing our business. However, consumers perceive our performance not only based on our listing but also based on third parties outside of our control, including brand partners, third-party delivery agents and marketplaces.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Customer complaints or negative publicity about the products we sell, delivery times, data handling and security practices, customer support or marketing strategies, even if not accurate, especially on blogs, social media websites and marketplaces, could rapidly and severely diminish customers’ view of our product listings and result in harm to our brand partners and our brand. Third parties have in the past and may in the future disseminate false, deceiving and harmful rhetoric about our business. Customers may also make safety-related claims regarding products sold through marketplaces, which may result in the temporary or permanent removal of product listings from marketplaces. We have from time to time experienced such removals, and such removals may materially impact our financial results depending on the product listing that is removed and length of time that it is removed.</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inability to accurately predict customer demand or effectively optimize and manage our logistics and customer service operations could lead to either excess or insufficient capacity, increased costs and potential impairment charges, all of which could materially harm our business. As we expand our logistics and customer service capabilities or introduce new products with varying requirements, the complexity of our operations increases, making them more challenging to manage. We cannot guarantee that we will be able to maintain operational efficiency as we scale.</w:t>
      </w:r>
    </w:p>
    <w:p>
      <w:pPr>
        <w:spacing w:after="0" w:line="12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or are unable to achieve or maintain a high level of customer satisfaction, demand for our brand partners’ products could suffer.</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that our future revenue growth depends, in part, on our ability to provide customers with quality service that meets or exceeds our customers’ evolving needs and expectations, and is conducive to our ability to continue to sell our brand partners’ products to customers. The importance of high-quality customer support will increase as we expand our business. We are not always able to provide our customers with this level of service, and our customers occasionally encounter challenges in our customer support, including as a result of human error, outages, errors or bugs in our technology or third-party software. Our ability to provide effective and timely support is largely dependent on our ability to attract and retain skilled employees who can support our customers and are sufficiently knowledgeable about the products and our solutions. As we continue to grow our business and improve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solutions, we will face challenges related to providing quality support at an increased scale. If we do not help our customers quickly resolve issues and provide effective ongoing support or are unable to achieve or maintain a high level of customer satisfaction, we could experience more complaints from customers, brand partners ending their relationship with us, lower than expected repeat purchases, disputes and additional costs or negative publicity, any of which could have an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transportation vendors, last mile carriers and marketplaces to ship and deliver our customers’ orders.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rely on third parties, such as our transportation vendors, last mile carriers and marketplace fulfillment networks, to deliver products to our customers. Shortages of transportation vessels, transportation disruptions or other adverse conditions in the transportation industry due to shortages of pilots and truck drivers, strikes, slowdowns, piracy, terrorism, disruptions in rail service, closures of shipping routes, unavailability of ports and port service for other reasons, increases in fuel prices, adverse weather conditions, human-caused disasters or accidents, local and federal regulations, taxes, license and registration fees, insurance premiums, geopolitical events and security issues, labor or trade disputes or other adverse changes related to such third-party services could increase our costs and disrupt our operations and our ability to deliver products to our customers on the timing they expect or at all. Further, we rely on the business continuity plans of these third parties to maintain operations during such events, but we have limited control over their plans. As a result, we may be unable to prevent delays, cost increases or disruptions caused by reduced availability, capacity constraints or heightened safety measures. We may also experience shipping delays or disruptions due to other carrier-related issues relating to their own internal operational capabilities. The failure of our shipping partners to provide quality customer service when delivering products to us or our customers could negatively impact our business and operating results.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will also depend, in part, on our ability to build and maintain relationships with these vendors and marketplaces on commercially reasonable terms. For example, we rely on marketplaces for fulfillment and delivery of many of our brand partners’ products to customers. Our agreements with brand partners generally require our brand partners to cover increases in marketplace fulfillment fees, which marketplaces have previously changed, and can in the future change, in their discretion. If marketplace fulfillment fees materially increase and our brand partners fail to meet their obligation to cover these costs, our margins would be negatively impacted. If we are unable to build and maintain such relationships on commercially reasonable terms, we may need to procure alternatives, which may be time consuming, costly or result in disruptions in our business or increased costs to our brand partners. Even if we are able to build and maintain such relationships, if these third parties are unable to deliver their services on a timely basis, customers and marketplaces could become dissatisfied, which would adversely affect our revenue, reputation and business.</w:t>
      </w:r>
    </w:p>
    <w:p>
      <w:pPr>
        <w:spacing w:after="0" w:line="13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For international operations, in certain countries we rely on third-party logistics and cross-docking partners to collect, sort and prepare for cross-border shipping of brand partners’ products. We may generally employ a single provider of cross-docking services in our outbound markets to the extent the number of alternative providers and minimum volume requirements imposed by such providers are relatively low. Our ability to ship products in a timely manner is dependent on our ability to secure third-party logistics and cross-docking services and in the event that we cannot secure them in specific geographies or are unable to secure them at competitive prices or with adequate service reliability and availability, our operations may be adversely affected. Moreover, if a third-party logistics or cross-docking service provider fails to provide the service, our operations will be adversely affected until such time that we are able to shift to an alternative provider.</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of the foregoing operational disruptions to our transportation vendors, our inability to negotiate competitive rates with such vendors or our inability to switch to alternative vendors could adversely affect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variability in our business places increased strain on our operations.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Demand for the products we sell can fluctuate significantly for many reasons, including as a result of seasonality, holiday season and other peak events, promotions, product launches, advertising spend or unforeseeable events, such as in response to global economic conditions including recessionary fears or rising inflation, natural or human-caused disasters, extreme weather or geopolitical events. Our failure to stock or restock products in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amounts such that we fail to meet customer demand could significantly affect our revenue and our future growth. When we overstock products, we may be required to take significant inventory markdowns or write-offs and incur commitment costs, which could materially reduce profitability. In addition, we may be unable to adequately staff our logistics network and customer service centers during these peak periods and may be unable to meet the seasonal demand. Risks described elsewhere relating to logistics network optimization and inventory are magnified during periods of high demand.</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rely on our brand partners to fund the advertising of the products we sell. As a result of fluctuations in marketing budgets in the beginning of the fiscal year or from quarter to quarter, some brand partners may not be able to allocate proper funds to advertising spend which could result in lower sales of the product.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against current and future competitors.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face competition in various aspects of our business and we expect such competition to grow in the future. Ecommerce is highly competitive and brands have a number of options to execute their ecommerce strategy. Brands could grow their ecommerce business themselves, marketplaces could directly offer brands’ products and existing tools and service providers could focus on implementing an ecommerce acceleration model. Other third-party sellers may secure better terms from our brand partners, adopt more aggressive pricing, undercut retail prices in an effort to increase their market share and devote more resources to technology, infrastructure, fulfillment, advertising and marketing. In addition, other third-party sellers may leverage their distribution networks, or brands could engage in direct sales on marketplaces, allowing them to implement more aggressive pricing strategies and offer more attractive sales terms. This could cause us to lose sales opportunities or force us to sell our inventory at lower prices. The internet facilitates competitive entry and comparison shopping, which enhances the ability of new, smaller or lesser-known businesses to compete against us. As a result, our potential competitors may be able to develop products and services that may be able to respond more quickly and effectively than we can to new or changing opportunities, technologies or regulations. Our business model may not be successful, we may fail to gain or may lose business and we may be required to increase our spending or lower prices to remain competitive. If we cannot compete successfully against current and future competitors, our business, results of operations and financial condition could be negatively impacted.</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Competition continues to intensify, including with the development of new business models and the entry of new and well-funded competitors and as our competitors enter into business combinations or alliances and established companies in other market segments expand to become competitive with our business. Further, shifts in consumer trends away from ecommerce to brick-and-mortar could adversely affect our revenue and growth. In addition, new and enhanced technologies, including applications of AI and machine learning, may in the future influence brand partners to choose to develop their own solutions and no longer rely on us for distribution of their products.</w:t>
      </w:r>
    </w:p>
    <w:p>
      <w:pPr>
        <w:spacing w:after="0" w:line="1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products liability, cargo liability, workers’ compensation, cybersecurity and data breaches, directors’ and officers’ liability and general professional liability. For certain types of business risk, we may not be able to, or may choose not to, acquire insurance. In addition, we may not obtain enough insurance to adequately mitigate such operations-related risks,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high premiums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severity or number of claims under our deductibles or self-insured retentions differs from historical averages.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local laws, rules and regulations relating to insurance coverage which could result in proceedings or actions against us by governmental entities or others. Any failure or perceived failure by us to comply with existing or future local laws, rules and regulations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suffers when we are unsuccessful in making, integrating and maintaining acquisitions and investments.</w:t>
      </w:r>
    </w:p>
    <w:p>
      <w:pPr>
        <w:spacing w:after="0" w:line="175"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We have acquired and invested in a number of companies and we may in the future acquire or invest in or enter into joint ventures with additional companies. Acquisitions involve numerous risks, any of which could harm our business and negatively affect our financial condition and results of operations, including:</w:t>
      </w:r>
    </w:p>
    <w:p>
      <w:pPr>
        <w:spacing w:after="0" w:line="122" w:lineRule="exact"/>
        <w:rPr>
          <w:sz w:val="20"/>
          <w:szCs w:val="20"/>
          <w:color w:val="auto"/>
        </w:rPr>
      </w:pPr>
    </w:p>
    <w:p>
      <w:pPr>
        <w:ind w:left="660" w:right="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suitable acquisition targets, which could increase prices and adversely affect our ability to consummate deals on favorable or acceptable terms;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material delay in closing a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lawsuits or claims;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technologies, operations, existing contracts and personnel of an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employees or business partners of an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vendors, brand partners and customers, as applicable, of an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the brand identity of an acquired company with our own;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ongoing business, diversion of resources, increases to our expenses and distraction of our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 or alternative acquisition opportunities;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to our financial results as a result of incurring charges or assuming substantial debt or other liabilities, adverse tax consequence or unanticipated accounting treatment, exposure to claims and disputes by stockholders and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or synergies of a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200" w:hanging="328"/>
        <w:spacing w:after="0" w:line="312" w:lineRule="auto"/>
        <w:tabs>
          <w:tab w:leader="none" w:pos="65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regulatory bodies may enact new laws or promulgate new regulations that are adverse to an acquired company or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regulatory bodies do not approve our acquisitions or business combinations or delay such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our trade secrets or confidential information that we share with potential acquisition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an acquired company or investment in new services cannibalizes a portion of our existing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 acquisition.</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affected by changes in foreign currency exchange rates.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operations and customer base are currently concentrated in the United States. Therefore, we currently have limited foreign currency diversification and exposure. However, our foreign currency diversification and exposure may increase as international sales of our brand partners’ products increase over time. As a result, our revenue and profits generated by any non-U.S. operations may fluctuate from period to period as a result of changes in foreign currency exchange rates. In addition, we may become subject to exchange control regulations that restrict or prohibit the conversion of our other revenue currencies into U.S. dollars. Any of these factors could decrease the value of revenue and profits we derive from our non-U.S. operations and adversely affect our business.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also seek to reduce our exposure to fluctuations in foreign currency exchange rates through the use of hedging arrangements. To the extent that we hedge our foreign currency exchange rate exposure, we forgo the benefits we would otherwise experience if foreign currency exchange rates changed in our favor. There can be no assurances that our hedging or other strategic techniques will mitigate the risks associated with such fluctuations, and our currency exchange rate risk management activities could expose us to substantial losses if such rates change materially from what we expect.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our failure to raise capital when needed could prevent us from growing.</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future, we could be required to raise capital through public or private financing or other arrangements. Such financing may not be available on acceptable terms or at all, and our failure to raise capital when needed could harm our business. We may sell Series A common stock, convertible securities and other equity securities in one or more transactions at prices and in a manner as we may determine from time to time. If we sell any such securities in subsequent transactions, investors in our Series A common stock may be materially diluted. New investors in such subsequent transactions could gain rights, preferences and privileges senior to those of holders of our Series A common stock. Debt financing, if available, may involve restrictive covenants and could reduce our operational flexibility or profitability. If we cannot raise funds on acceptable terms, we may be forced to raise funds on undesirable terms, our business may contract or we may be unable to grow our business or respond to competitive pressures,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in our revolving credit facility could adversely affect our operating flexibility.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revolving credit facility provides for non-amortizing revolving loans in the aggregate principal amount of up to $50 million, with the option to increase the aggregate principal amount up to $150 million upon our initial public offering subject to certain conditions, and with an additional option to increase the aggregate principal amount up to $250 million under certain conditions subject to lender approval. The revolving line of credit bears interest at a variable base rate plus an applicable margin ranging from 0.50% to 2.00% and matures in September 2030. Our revolving credit facility limits our ability to, among other things:</w:t>
      </w:r>
    </w:p>
    <w:p>
      <w:pPr>
        <w:spacing w:after="0" w:line="12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 or permit them to exist;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otherwise dispose of assets.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required to maintain compliance as of the end of each calendar quarter with the following financial covenants: (i) a consolidated fixed charge coverage ratio on a trailing 12-month basis of no less than 1.25 to 1.00; and (ii) a consolidated net leverage ratio on a trailing 12-month basis not greater than 4.00 to 1.00. The provisions of our revolving credit facility may affect our ability to obtain future financing and to pursue attractive business opportunities and our flexibility in planning for, and reacting to, changes in business conditions. As a result, restrictions in our revolving credit facility could adversely affect our business, financial condition and results of operations. In addition, a failure to comply with the provisions of our revolving credit facility could result in a default or an event of default that could enable our lenders to declare the outstanding principal of that debt, together with accrued and unpaid interest, to be immediately due and payable. If the payment of outstanding amounts under our revolving credit facility is accelerated, our assets may be insufficient to repay such amounts in full, and holders of our Series A common stock could experience a partial or total loss of their investment. As of June 30, 2025, we had no outstanding borrowings under our prior revolving credit facility and were in compliance with the financial covenants thereunder. As of the date of this prospectus, we had no outstanding borrowings under our current revolving credit facility. See the section titled “Management’s Discussion and Analysis of Financial Condition and Results of Operations—Liquidity and Capital Resources.”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costs and risks that can adversely affect our business, financial condition and operating results.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Brand partners utilize our platform to power their ecommerce acceleration across more than 100 countries and we have offices across North America, Asia, Australia and Europe. International operations and further expansion subjects us to many challenges associated with supporting a rapidly growing business across a multitude of cultures, customs, monetary, legal and regulatory systems and commercial infrastructures. In certain international markets we have relatively limited operating history, and our ability to manage our business and conduct our operations internationally requires considerable attention and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risks described elsewhere in this section, our international sales and operations are subject to a number of risks, including:</w:t>
      </w:r>
    </w:p>
    <w:p>
      <w:pPr>
        <w:spacing w:after="0" w:line="17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political conditions;</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governmental actions (such as trade protection measures, including export duties, quotas, custom duties, tariffs, penalties, sanctions and restrictions around the import and export of certain products, technologies and components). For example, imposition of higher tariffs on goods imported to the United States, including from Mexico, Canada and China, could affect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and restrictions on foreign ownership, including in China and Germany, could make expansion into those markets more difficult;</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regarding privacy, data use, data protection, data security, data localization, network security, consumer protection, pricing, discounting, product labeling, environmental safety, payments, advertising, labor and competition;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licensing or certification requirements, such as for imports, exports, web services and electronic devices;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sales or distribution of certain products or services and uncertainty regarding liability for products, services and content, including uncertainty as a result of less internet-friendly legal systems, local laws, lack of legal precedent and varying rules, regulations and practices regarding the physical and digital distribution of media products and enforcement of intellectual property rights;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complications in enforcing contracts and collections;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payable and longer receivable cycles and the resultant negative impact on cash flow;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and investment of funds and foreign currency exchange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invoicing and collecting in foreign currencies and associated foreign currency exposure;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fulfillment and technology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use of the internet;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and fewer opportunities for growth compared to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travel, infrastructure and legal compliance costs associated with having multiple international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developing and managing foreign operations as a result of distance, language and cultural differences;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employee/employer relationships and the existence of works councils and labor unions;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varied labor and employment laws, including those relating to termination of employees. For example, stricter laws for foreign employers in India could make it difficult for us to provide scalable technical support;</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(“FCPA”) and other applicable U.S. and foreign laws prohibiting corrupt payments to government officials and other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policies of the United States and other jurisdictions affecting trade, foreign investment, loans and taxes for cross-border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funding loss-making international subsidiaries;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administrative costs and risks associated with compliance with local laws and regulations, including relating to privacy and data security in China and the EU;</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negative, unstable or changing economic conditions in the countries and regions where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difficulties, costs and expenses related to various local languages, cultures and political nuances;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wars and geopolitical instability, including the Ukraine war, the Israel-Hamas war and the broader conflict in the Middle East.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laws and regulations and we may incur material liabilities or costs related to complying with existing or future laws and regulations, and our failure to comply may result in enforcements, penalties, recalls and other adverse actions.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subject to a broad range of federal, state, local and foreign laws and regulations including those intended to protect public and worker health and safety, natural resources and the environment. Our operations are subject to regulation by various agencies, including the Occupational Safety and Health Administration, the FDA, the Department of Agriculture, the Federal Trade Commission, the Department of Justice, including the Antitrust Division, the European Commission, and other federal, state, local and foreign authorities regarding the processing, packaging, storage, distribution, advertising, labeling and export of our brand partners’ products, including food safety standards and pricing and competition. In addition, we and our brand partners are subject to additional regulatory requirements, including environmental, health and safety laws and regulations administered by the U.S. Environmental Protection Agency, state, local and foreign environmental, health and safety legislative and regulatory authorities and the National Labor Relations Board, covering such areas as discharges and emissions to air and water, the use, management, disposal and remediation of, and human exposure to, hazardous materials and wastes and public and worker health and safety. These laws and regulations also govern our relationships with employees, including minimum wage requirements, overtime, terms and conditions of employment, working conditions and citizenship requirements. Violations of or liability under any of these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among other things. Such laws and regulations generally have become more stringent over time and may become more so in the future. Authorities may enact new laws or promulgate new regulations that are adverse to our business, or they may view matters or interpret laws and regulations differently than they have in the past or in a manner adverse to our business. We may incur (directly or indirectly) material costs to comply with current or future laws and regulations or in any required product recalls. Liabilities or costs of compliance with any such laws and regulations could materially and adversely affect our business, financial condition and results of operations. In addition, changes in these laws and regulations could impose significant limitations and require changes to our business, which may increase our compliance expenses, make our business more costly and less efficient to conduct and compromise our growth strategy. As our business matures and we expand geographically and into different product categories, we may become subject to new laws and regulations in new jurisdictions. It is difficult to predict how existing and future laws will be applied to our business as it exists today and may exist in the future.</w:t>
      </w:r>
    </w:p>
    <w:p>
      <w:pPr>
        <w:spacing w:after="0" w:line="13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economic and financial instability and changes in international trade policies or tariffs, particularly between the United States and China, could have a material impact on our business, financial condition and results of operations.</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Political and economic instability, the financial instability of brand partners, brand partners’ ability to meet our standards, labor problems experienced by brand partners, the availability of raw materials, merchandise quality issues, currency exchange rates, transport availability and cost, transport security, inflation and other factors relating to our brand partners are beyond our control and may affect our ability to efficiently obtain products from our brand partners, or to obtain those products at all. For example, in the past our in-stock rates were negatively affected due to increased shipping lead times and delays in importing goods into the United States due to disruptions in global shipping routes and labor strikes affecting ports.</w:t>
      </w:r>
    </w:p>
    <w:p>
      <w:pPr>
        <w:spacing w:after="0" w:line="1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decrease in the level of imports to and exports from China could have a material impact on our business, financial condition and results of operations. Rising trade and political tensions could reduce levels of trades, investments, technological exchanges and other economic activities between China and other countries, which would have an adverse effect on global economic conditions, the stability of global financial markets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international trade policies. It could also adversely affect the financial and economic conditions in the jurisdictions in which we operate, as well as our global expansion, our financial condition and results of operations.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is significant uncertainty as to the potential actions of the U.S. government with respect to international trade policy and the impact of tariffs, particularly with respect to trade between the United States and China. The United States has recently announced changes to U.S. trade policy, including increasing tariffs on imports, in some cases significantly, and potentially renegotiating or terminating existing trade agreements. For example, in April 2025, the U.S. government imposed broad new tariffs, including a baseline tariff of 10% on all imports, plus additional country-specific tariffs. The announcement of the tariffs has been followed by announcements of limited exceptions and temporary pauses.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the products we sell or increase the cost to us of our brand partners’ products, which could have a material impact on our business, financial condition and results of operations. For example, consumers may respond to the imposition of tariffs or threat of tariffs on the products we sell by purchasing alternative products at a lower price. The resulting environment of retaliatory trade or other practices or additional trade restrictions or barriers, if implemented on a broader range of our brand partners’ products, could harm our ability to sell brand partner products at prices consumers are willing to pay, which could have a material impact on our business, financial condition and results of operations. It remains unclear what additional, new or different actions, if any, will be taken by the United States, China or other governments with respect to international trade agreements, the imposition of tariffs on goods imported into the United States, the erection of barriers to trade, tax policy related to international commerce or other trade matters. The imposition of tariffs and trade restrictions as a result of international trade disputes or changes in trade policies could materially impact our sales and profitability. Ongoing international trade disputes and changes in trade policies could also impact economic activity and lead to a general contraction of consumer demand. Future actions or escalations by either the United States or China that affect trade relations could also negatively affect our business and/or that of our brand partners, and we cannot provide any assurances as to whether such actions will occur or the form that they may take.</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also are unable to predict whether any of the countries in which our brand partners’ products are currently manufactured or may be manufactured in the future will be subject to trade restrictions imposed by the United States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materially adversely affect our financial performance as well as our reputation and brand. Furthermore, some or all of our brand partners’ foreign operations may be adversely affected by political and financial instability, resulting in the disruption of trade from exporting countries, restrictions on the transfer of funds or other trade disruptions.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subject to the FCPA, U.S. domestic bribery laws and other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or that we will be able to timely detect such actions. As we increase our international sales and business, our risks under these laws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our senior management team.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3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mobile devices and ecommerce is evolving, and unfavorable changes could substantially adversely affect our business, financial condition and results of operations.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and state regulations and laws specifically governing the internet, mobile devices and ecommerce that are constantly evolving. Existing and future laws and regulations, or changes thereto, may impede the growth of the Internet, mobile devices, ecommerce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mobile, electronic contracts and other communications, consumer protection and the characteristics and quality of our brand partners’ products. It is not clear how existing laws governing issues such as property ownership, sales, use and other taxes and personal privacy apply to the internet and ecommerce. In addition, in the future, it is possible that foreign government entities in jurisdictions in which we seek to expand our business may seek to or may even attempt to block access to marketplaces on which we sell or our website. Negative developments regarding trademark law and other property rights may result in our brand partners’ inability to maintain adequate enforcement of rights against unauthorized sellers.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3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business partners and service providers may be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financial condition and operations.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and security laws (collectively, “personal information”). The legislative and regulatory framework for the collection, use, safeguarding, sharing, transfer and other processing of personal information worldwide is rapidly evolving and is likely to remain uncertain for the foreseeable future. Globally, several jurisdictions, including those in which we operate or collect personal information, have established their own data privacy and security frameworks with which we must comply. For example, in the United States, numerous federal and state laws and regulations, including state data breach notification laws, marketing/advertising laws, and federal and state consumer protection and data privacy and security laws (e.g., Section 5 of the Federal Trade Commission Act and the California Consumer Privacy Act (“CCPA”) and similar laws in other states), that govern the collection, use, disclosure and protection of personal information, apply to our operations and the operations of our business partners and service providers.</w:t>
      </w:r>
    </w:p>
    <w:p>
      <w:pPr>
        <w:spacing w:after="0" w:line="1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CCPA, which went into effect on January 1, 2020, established a comprehensive privacy framework for covered businesses by creating an expanded definition of personal information, and, amongst other requirements, establishing robust data privacy rights for California residents, imposing significant transparency obligations on covered businesses and requiring CCPA-compliant contracts between covered businesses and their service providers. It also provides for civil penalties for violations, and allows for a private right of action for data breaches that is expected to increase data breach litigation. In addition, the California Privacy Rights Act (“CPRA”),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amended the CCPA and became effective January 1, 2023, has imposed additional obligations on companies covered by the legislation. The CPRA significantly modified the CCPA, including by expanding consumers’ rights with respect to certain sensitive personal information. The CPRA also created a new state agency that was vested with authority to implement and enforce the CCPA. Many aspects of the CCPA, as amended by the CPRA, and its interpretation remain unclear. As such, its full impact on our business and operations remains uncertain.</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Similar laws have taken effect or been passed in numerous other states and proposed in others still. Such legislation adds additional complexity, variation in requirements, restrictions and potential legal risk, requires additional investment of resources in compliance programs, impacts strategies and could result in increased compliance costs and/or changes in business practices and policies. The existence of data privacy and security laws in different states in the country makes our compliance obligations more complex and costly and may increase the likelihood that we may be subject to enforcement actions or otherwise incur liability for noncompliance. These various data privacy and security laws may impact our business activities, including relationships with business partners and ultimately the marketing and distribution of our brand partners’ products. State laws are changing rapidly and there is discussion in the U.S. Congress of a new comprehensive federal data privacy law to which we may likely become subject, if enacted.</w:t>
      </w:r>
    </w:p>
    <w:p>
      <w:pPr>
        <w:spacing w:after="0" w:line="135"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Moreover, laws, regulations and standards covering marketing, advertising and other activities conducted by telephone, email, mobile devices and the internet may be or become applicable to our business, such as the Telephone Consumer Protection Act, the Controlling the Assault of Non-Solicited Pornography and Marketing Act and similar state consumer protection and communication privacy laws, such as California’s Invasion of Privacy Act.</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brand partners utilize our platform to power their ecommerce acceleration across more than 100 countries and we must also address privacy and data protection requirements from other jurisdictions outside of the United States. Outside the United States, an increasing number of laws, regulations and industry standards apply to data privacy and security, including the EU’s General Data Protection Regulation (“EU GDPR”) and the United Kingdom’s GDPR (“UK GDPR” and together with the EU GDPR, “GDPR”), which impose strict requirements for processing personal data. Violators of these laws face significant penalties. For example, under the GDPR, companies may face temporary or definitive bans on data processing and other corrective actions; fines of up to 20 million Euros under EU GDPR/17.5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conducting our business, we may transfer personal information from the EU, the UK and other jurisdictions to the United States or other countries. The GDPR and other laws impose requirements on the transfer of personal information to other countries. In particular, the GDPR has significantly restricted the transfer of personal information to the United States and other countries whose privacy laws it believes are inadequate. Other jurisdictions have adopted or may adopt similarly stringent data localization and cross-border data transfer laws. Although there are currently various mechanisms that may be used to transfer personal information to the United States under the GDPR in compliance with law, such as the EU GDPR’s standard contractual clauses, the UK GDPR’s International Data Transfer Agreement/Addendum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and other third countries.</w:t>
      </w:r>
    </w:p>
    <w:p>
      <w:pPr>
        <w:spacing w:after="0" w:line="13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there is no lawful manner for us to transfer personal information from various jurisdictions, including the EU and UK, to the United States, or if the requirements for a legally-compliant transfer are too onerous, we could face significant adverse consequences, including increased exposure to regulatory actions, substantial fines and injunctions against processing or transferring personal information, as well as other adverse consequences. In particular we may be unable to import personal data to the United States and other third countries in which we operate, which could significantly and negatively impact our business operations. Additionally, companies that transfer personal information out of the EU and UK to other jurisdictions, particularly to the United States, may be subject to increased scrutiny from regulators, individual litigants and activist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Beyond the United States and Europe, we face challenges of privacy and data protection laws in numerous jurisdictions in which we operate, including China which has a stringent privacy, cyber and data protection regulation. Most notably, the Personal Information Protection Law of China (“PIPL”) was adopted on August 20, 2021, and went into effect on November 1, 2021. Similar to the GDPR, the PIPL calls for extraterritorial application, data minimization, data localization and purpose limitation requirements, and obligations to provide certain notices and rights to citizens of China. The PIPL allows for fines of up to 50 million renminbi or 5% of a covered company’s revenue in the prior year. In addition, the PIPL has certain requirements that must be met before data can be transferred across border.</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legislative and regulatory frameworks we are subject to governing the processing of personal information, we are also contractually subject to data privacy and security obligations. Moreover, we publish privacy policies, marketing materials and other statements regarding data privacy and security. If we fail to abide by our contractual obligations or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Legislative and regulatory, contractual and other obligations related to data privacy and security (and data privacy expectations from our business partners and constituencies)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data processing practices and to those of any third parties that process personal data on our behalf.</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and compliance posture. For example, any failure by one of our third-party service providers to comply with applicable law, regulations or contractual obligations could result in adverse effects, including proceedings against us by governmental entities or others.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even criminal penalties for company officials. In particular, plaintiffs have become increasingly more active in bringing privacy-related claims against companies, including class-action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brand partners or customers, interruptions or stoppages in our business operations, inability to process personal data or to operate in certain jurisdictions, limited ability to develop or commercialize our solutions, expenditure of time and resources to defend any claim or inquiry, adverse publicity or revision or restructuring of our operations.</w:t>
      </w:r>
    </w:p>
    <w:p>
      <w:pPr>
        <w:spacing w:after="0" w:line="136"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providers fail to protect confidential information and/or experience data security incidents, breaches or compromises, there may be damage to our brand and reputation, financial penalties and legal liability, which would materially adversely affect our business, results of operations and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that are critical to our business. We own and manage some of these technology systems, but also rely on third parties for a range of systems and related products and services. We also collect, process, store and transmit large amounts of data, including confidential information.</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technology systems and confidential information. Threat actors, including nation-states and nation-state-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supported actors now engage, and are expected to continue to engage, in cyber-attacks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software or solutions. Due to the current geopolitical environment, we and our brand partners are at heightened risk of these attacks, including cyber-attacks that could materially disrupt our systems and operations, supply chain and ability to produce, sell and distribute our brand partners’ products. In particular, severe ransomware attacks are becoming increasingly prevalent and can lead to significant interruptions in our operations, loss of confidential data and income, reputational harm and diversion of funds.</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rely upon email and other electronic means of communication to connect with customers. Our brand partners or customers may be targeted by parties using fraudulent spoofing and phishing emails to misappropriate passwords, payment information or other personal information or to introduce viruses through Trojan horse programs or otherwise through our brand partners’ or customers’ computers, smartphones, tablets or other devices. Spoofing and phishing may damage our brand and increase our costs, and we have experienced incidents related to phishing, though these incidents have not been material to date. Any failure to mitigate the effectiveness of such malicious activity in the future could damage our brand or increase our costs.</w:t>
      </w:r>
    </w:p>
    <w:p>
      <w:pPr>
        <w:spacing w:after="0" w:line="1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use third-party technology and systems for a variety of reasons, including, without limitation, encryption and authentication technology, employee email and other communication, content delivery to customers, back-office support and other functions. Our ability to monitor these third parties’ information security practices is limited, and these third parties may themselves inappropriately access such confidential information or may not have adequate security measures and could experience a security incident that compromises the confidentiality, integrity or availability of the systems they operate for us or the confidential information they process on our behalf, which could harm our reputation or adversely affect our business. While we may be entitled to damages if our third-party service providers fail to satisfy their privacy or security-related obligations to us, we cannot be certain that our applicable contracts with these third parties will adequately limit our data security-related liability to them or be sufficient to allow us to obtain indemnification or recovery from them for data security-related liability that they cause us to incur.</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confidential information as more of our employees utilize network connections, computers and devices outside our premises or network, including working at home, while in transit and in public locations. For example, technologies in our employees’ and service providers’ homes may not be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There is no guarantee that we will not encounter risks associated with employees and service providers accessing company data and systems remotely. Additionally, future or past business transactions (such as acquisitions or integrations) have exposed and may in the future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and certain of our third-party providers have in the past, and may in the future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Cyberattacks are expected to accelerate on a global basis in frequency and magnitude as threat actors are becoming increasingly sophisticated in using techniques and tools, including AI, that circumvent security controls, evade detection and remove forensic evidence. As a result, we may be unable to detect, investigate, remediate or recover from future attacks or incidents or avoid a material adverse impact to our technology systems, data or business. There can also be no assurance that our cybersecurity risk management program and processes, including our policies, controls or procedures, will be fully implemented, complied with or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Any adverse impact to the availability, integrity or confidentiality of our technology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the extent we accept debit and credit cards for payment, we are subject to the Payment Card Industry Data Security Standard, issued by the Payment Card Industry Security Standards Council. The Payment Card Industry Data Security Standard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maintain and protect our intellectual property and proprietary rights could harm our brand, devalue our proprietary content and adversely affect our ability to compete effectively.</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secure, maintain, protect and enforce our intellectual property rights in our proprietary technology, know-how and our brand. To protect our rights to our intellectual property, we rely on a combination of patent, trademark, copyright and trade secret laws, domain name registrations, confidentiality agreements and other contractual arrangements with our brand partners, employees, affiliates, strategic partners, marketplaces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intellectual property protection, we may be unable to detect the unauthorized use of, or take appropriate steps to enforce, our patents and other intellectual property rights. In addition,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Further, effective patent, trademark, copyright and trade secret protection may not be available to us or in every jurisdiction in which we offer or intend to offer our brand partners’ products and our technology. Failure to adequately protect our intellectual property could harm our brand, devalue our proprietary content and adversely affect our ability to compete effectively.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spacing w:after="0" w:line="14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1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may use generative AI Technologies, including tools provided by third parties, to develop or assist in the development of our own software. While use of such tools makes our development process more efficient,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Technologies have sometimes generated content that is “substantially similar” to proprietary or open source code on which the AI tool was trained. If the AI Technologies we use generate code that is too similar to other proprietary code, or to software processes that are protected by patent, we could be subject to intellectual property infringement claims. We may also not be able to anticipate and detect security vulnerabilities in such AI generated software. If our tools generate code that is too similar to open source code, we risk losing protection of our own proprietary code that is commingled with such code. Finally, to the extent we use third-party AI Technologies to develop software, the terms of use of these tools may state that the third-party provider retains rights in the generated code.</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fail to adequately protect our intellectual property rights, our competitors may gain access to our intellectual property and proprietary technology and develop and commercialize substantially identical solutions or technologies. In addition, defending our intellectual property rights might entail significant expense. Any patents, trademarks, copyrights or other intellectual property rights that we have or may obtain may be challenged or circumvented by others or invalidated or held unenforceable through administrative process, including re-examination, inter partes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 trade secrets and intellectual property may be difficult, expensive and time-consuming. Despite our precautions, it may be possible for unauthorized third parties to copy our solutions and technology capabilities and use information that we regard as proprietary to create solutions that compete with ours. The value of our trademarks could be diminished if others assert 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spacing w:after="0" w:line="1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solutions and technology capabilities. These agreements may be breached, and we may not have adequate remedies for any such breach.</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protect and defend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solutions and technology capabilities, impair the functionality of our solutions and technology capabilities, delay introductions of new solutions, result in our substituting inferior or more costly technologies into our solutions or injure our reputation.</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not be able to successfully halt the operations of copycat websites or the infringement or misappropriation of intellectual property rights in Pattern, or elements or functionality embodied therein,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but not limited to, our digital catalog.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claims, which are extremely costly to defend, could require us to pay significant damages and could limit our ability to use certain technologies in the future.</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Third parties have from time to time claimed, and may claim in the future, that we have infringed their intellectual property rights. These claims, whether meritorious or not, could be time-consuming, result in considerable litigation costs, result in injunctions against us or the payment of damages by us, require significant amounts of management time or result in the diversion of significant operational resources and expensive changes to our business model, require us to indemnify our brand partners or third-party service providers, materially disrupt the conduct of our business and have a material and adverse effect on us and our brand partners and result in the payment of substantial damages or injunctions against us or require us to enter into costly royalty or licensing agreements, if available. Additionally, there can be no assurance that favorable outcomes will be obtained. Any payments we are required to make and any injunctions we are required to comply with as a result of such infringement actions could adversely affect our business, financial condition and results of operations. We may need to obtain licenses from, or enter into royalty arrangements with, third parties who allege that we have infringed their rights, but such licenses or arrangements may not be available on terms acceptable to us or at all. In addition, we may be unable to obtain or utilize on terms that are favorable to us, or at all, licenses or other rights with respect to intellectual property we do not own. These risks have been amplified by the increase in third parties whose sole or primary business is to assert such claims. As a result, these claims could materially and adversely affect our business, financial condition and results of operations.</w:t>
      </w:r>
    </w:p>
    <w:p>
      <w:pPr>
        <w:spacing w:after="0" w:line="13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registered domain names that we use in, or are related to, our business, most importantly www.pattern.com. If we lose the ability to use a domain name, whether due to trademark claims, failure to renew the applicable registration or any other cause, we may be forced to market our solutions under a new domain name, which could cause us substantial harm or cause us to incur significant expense in order to purchase rights to the domain name in question. We may not be able to obtain preferred domain names outside the United States due to a variety of reasons.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trade names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technology makes use of open source software components, and a failure to comply with the terms of the underlying open source software licenses could negatively affect our ability to use our technology and subject us to possible litigation.</w:t>
      </w:r>
    </w:p>
    <w:p>
      <w:pPr>
        <w:spacing w:after="0" w:line="1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technology incorporates and is dependent, to a significant extent, upon the use of open source software, and we intend to continue our use of open source software in the future. Such open source software is generally licensed by its authors or other third parties under open source licenses and is typically freely accessible, usable and modifiable. Pursuant to such open source licenses, we may be subject to certain conditions, including requirements, depending on how the licensed software is used or modified, that we offer our proprietary software that incorporates the open source software for little or no cost, that we make available source code for modifications or derivative works we create based upon incorporating or using the open source software and that we license such modifications or derivative works under the terms of the particular open source license. This could enable our competitors to create similar solutions with lower development effort and time and ultimately could result in a loss of our competitive advantage. Further, if an author or other third-party that uses or distributes such open source software were to allege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11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that we had not complied with the conditions of one or more of these licenses, we could be required to incur significant legal expenses defending against such allegations and could be subject to significant damages, enjoined from the use of our technology that contained or are dependent upon the open source software and required to comply with the foregoing conditions, which could disrupt the use of our technology and ultimately the sale of our brand partners’ products. Litigation could be costly for us to defend, negatively affect our operating results and financial condition or require us to devote additional research and development resources to change our technology. The terms of many open source licenses to which we are subject have not been interpreted by U.S. or foreign courts, and there is a risk that these licenses could be construed in a way that could impose unanticipated conditions or restrictions on our ability to provide or distribute our technology. As there is little or no legal precedent governing the interpretation of many of the terms of certain of these licenses, the potential impact of these terms on our business is uncertain and may result in unanticipated obligations regarding our technologies. Any requirement that we make available source code for modifications or derivative works we create based upon incorporating or using open source software or that we license such modifications or derivative works under the terms of open source licenses, could be harmful to our business, financial condition or results of operations and could help our competitors develop platforms that are similar to or better than ours. In addition, to the extent that we have failed to comply with our obligations under particular licenses for open source software, we may lose the right to continue to use and exploit such open source software in connection with our operations, which could disrupt and adversely affect our business.</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and distribution of open source software can lead to greater risks than the use of third-party commercial software, as open source licensors generally do not provide support, warranties, indemnification, controls on the origin or development of the software, remedies against the licensors or other contractual provisions regarding infringement claims or the quality of the code. Many of the risks associated with usage of open source software cannot be eliminated and could adversely affect our business.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complied with our obligations under the various applicable licenses for open source software, it is possible that we may not be aware of all instances where open source software has been incorporated into our software or used in connection with our solutions or our corresponding obligations under open source licenses. Additionally, even though we have implemented certain tools and policies to monitor the use, compliance and incorporation of open source software into our solutions, we cannot be certain that we have not incorporated open source software in the solutions we offer in a manner that is inconsistent with such tools and policies. To the extent that we are required to disclose the source code of certain of our software developments to third parties, including our competitors, in order to comply with applicable open source license terms, such disclosure could harm our intellectual property position, competitive advantage, results of operations and financial condition. In addition, to the extent that we have failed to comply with our obligations under particular licenses for open source software, we may lose the right to continue to use and exploit such open source software in connection with our operations and solutions, which could disrupt and adversely affect our business.</w:t>
      </w:r>
    </w:p>
    <w:p>
      <w:pPr>
        <w:spacing w:after="0" w:line="13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Series A common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not currently required to comply with the SEC rules that implement Section 404 (“Section 404”) of the Sarbanes-Oxley Act of 2002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commencing with our second annual report on Form 10-K. We are required to disclose changes in internal control over financial reporting that have materially affected, or are reasonably likely to materially affect, our internal control over financial reporting on a quarterly basis.</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commenced the costly and challenging process of compiling the system and processing documentation necessary to perform the evaluation needed to comply with Section 404, and we may not be able to complete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evaluation, testing and any required remediation in a timely fashion. Our compliance with Section 404 will require that we incur substantial accounting expense and expend significant management efforts. In addition, as our business continues to grow in size and complexity, we are improving our processes and infrastructure to help ensure we can prepare financial reporting and disclosures within the timeline required for a public company. We may need to hire additional accounting and financial staff with appropriate public company experience and technical accounting knowledge to compile the system and process documentation necessary to perform the evaluation needed to comply with Section 404. In addition, prior to completing our internal control assessment under Section 404, we may become aware of and disclose material weaknesses that will require timely remediation. Due to our significant growth, we face challenges in timely and appropriately designing controls in response to evolving risks of material misstatement. During the evaluation and testing process of our internal controls, if we identify one or more material weaknesses in our internal control over financial reporting, we will be unable to assert that our internal control over financial reporting is effective.</w:t>
      </w:r>
    </w:p>
    <w:p>
      <w:pPr>
        <w:spacing w:after="0" w:line="13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maintain internal control over financial reporting could severely inhibit our ability to accurately report our financial condition or operating results.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Series A common stock could decline and we could be subject to sanctions or investigations by the stock exchange on which our securities are listed, the SEC or other regulatory authorities. Failure to remedy any material weakness in our internal control over financial reporting or to implement or maintain these and other effective control systems required of public companies, could also restrict our future access to the capital markets.</w:t>
      </w:r>
    </w:p>
    <w:p>
      <w:pPr>
        <w:spacing w:after="0" w:line="134"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as a public company will require us to incur substantial costs and will require substantial management attention. In addition, our management team has limited experience managing a public company.</w:t>
      </w:r>
    </w:p>
    <w:p>
      <w:pPr>
        <w:spacing w:after="0" w:line="10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As a public company, we will incur substantial legal, accounting and other expenses that we did not incur as a private company. For example, we will be subject to the reporting requirements of the Securities Exchange Act of 1934, as amended (“Exchange Act”), the applicable requirements of the Sarbanes-Oxley Act and the Dodd-Frank Wall Street Reform and Consumer Protection Act and the rules and regulations of the SEC. The rules and regulations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of Nasdaq will also apply to us following this offering. As part of the new requirements, we will need to establish and maintain effective disclosure and financial controls and make changes to our corporate governance practices. We expect that compliance with these requirements will increase our legal and financial compliance costs and will make some activities more time-consuming.</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Most of our management and other personnel have little experience managing a public company and preparing public filings. In addition, we expect that our management and other personnel will need to divert attention from other business matters to devote substantial time to the reporting and other requirements of being a public company. In particular, we expect to incur significant expense and devote substantial management effort to complying with the requirements of Section 404. We will need to hire additional accounting and financial staff with appropriate public company experience and technical accounting knowledge.</w:t>
      </w:r>
    </w:p>
    <w:p>
      <w:pPr>
        <w:spacing w:after="0" w:line="1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1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GAAP and related accounting pronouncements, implementation guidelines and interpretations we apply to a wide range of matters that are or could be relevant to our business, such as accounting for revenue recognition, inventory reserve, stock based compensation and income taxes,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 New accounting pronouncements and varying interpretations of accounting pronouncements have occurred in the past, and may occur in the future. Changes to existing rules or the questioning of current practices may adversely affect our reported financial results or the way we conduct our business. In addition, if we were to change our critical accounting estimates, including those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 xml:space="preserve">recognition of revenue and inventory reserves, our results of operations could be significantly affected. For more information, see </w:t>
      </w:r>
      <w:r>
        <w:rPr>
          <w:rFonts w:ascii="Times New Roman" w:cs="Times New Roman" w:eastAsia="Times New Roman" w:hAnsi="Times New Roman"/>
          <w:sz w:val="18"/>
          <w:szCs w:val="18"/>
          <w:i w:val="1"/>
          <w:iCs w:val="1"/>
          <w:color w:val="auto"/>
        </w:rPr>
        <w:t>Note 2—Summary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Polices</w:t>
      </w:r>
      <w:r>
        <w:rPr>
          <w:rFonts w:ascii="Times New Roman" w:cs="Times New Roman" w:eastAsia="Times New Roman" w:hAnsi="Times New Roman"/>
          <w:sz w:val="18"/>
          <w:szCs w:val="18"/>
          <w:color w:val="auto"/>
        </w:rPr>
        <w:t>, in the sections titled “Notes to Consolidated Financial Statements” and “Management’s Discussion and Analysis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Results of Operations—Critical Accounting Estimates” included elsewhere in this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Department of the Treasury. Changes to tax laws (which changes may have retroactive application) could adversely affect us or holders of our Series A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Series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subject to sales and other taxes.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provincial taxes, goods and services tax, business tax and gross receipt tax, to businesses like ours and marketplaces is a complex and evolving issue. Significant judgment is required to evaluate applicable tax obligations and as a result amounts recorded are estimates and could change. In many cases, the ultimate tax determination is uncertain because it is not clear how existing statutes apply to our business or to marketplaces’ businesses. One or more states, the federal government or other countries may seek to impose additional reporting, record-keeping or indirect tax collection obligations on businesses like ours that facilitate ecommerce. New taxes could also require us or marketplaces to incur substantial costs to capture data and collect and remit taxes. If such obligations were imposed, the additional costs associated with tax collection, remittance and audit requirements could make selling in marketplaces less attractive and more costly for us, which could adversely affect our business.</w:t>
      </w:r>
    </w:p>
    <w:p>
      <w:pPr>
        <w:spacing w:after="0" w:line="13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tax attributes to offset future taxable income for tax purposes is subject to limitation and risk that could limit our ability to utilize such attributes.</w:t>
      </w:r>
    </w:p>
    <w:p>
      <w:pPr>
        <w:spacing w:after="0" w:line="1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(“Code”), if a corporation undergoes an “ownership change,” generally defined as a greater than 50 percentage point change (by value) in its equity ownership by certain stockholders over a rolling three-year period, the corporation’s ability to use its pre-change net operating loss carryforwards (“NOLs”) and other pre-change tax attributes (such as research and development tax credits) to offset its post-change income or taxes may be limited. We may experience ownership changes in the future as a result of subsequent shifts in our stock ownership (some of which shifts in stock ownership may be outside our control). As a result, our ability to use any pre-change tax attributes (including any NOLs and tax credits) to offset future taxable income, if any, could be subject to limitations. Similar provisions of state tax law may also apply. Further, there is a risk that due to changes to the Code, regulatory changes or other unforeseen reasons, our existing tax attributes could expire or otherwise become unavailable to offset future income tax liabilities. As a result, we may currently or in the future be unable to use a material portion of our tax attributes. Furthermore, any state or local level credits or incentives (or carryforwards thereof) anticipated by us may become unavailable due to a change in eligibility, a change in circumstances, a change of law or otherwise, and will not be available to reduce future tax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could have a material adverse effect on our business and results of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Lawsuits and other administrative or legal proceedings that may arise in the course of our operations can involve substantial costs, including the costs associated with investigation, litigation and possible settlement, judgment, penalty or fine. In addition, lawsuits and other legal proceedings may be time consuming and may require a commitment of 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penalty or fine is not fully covered by insurance.</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as a result of disclosure obligations required of a public company, our business and financial condition will become more visible, which may result in an increased risk of threatened or actual litigation, including by competitors and other third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under the corporate governance requirements of Nasdaq, and intend to avail ourselves of certain reduced corporate governance requirements.</w:t>
      </w:r>
    </w:p>
    <w:p>
      <w:pPr>
        <w:spacing w:after="0" w:line="1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our dual series common stock structure and the co-founder voting agreement expected to be entered into between the co-founders in connection with this offering, our co-founders will collectively hold a majority of the voting power of our outstanding capital stock following the completion of this offering. Therefore, we will be considered a “controlled company” as that term is set forth in the corporate governance requirements of Nasdaq. Under these listing standards, a company in which over 50% of the voting power for the election of directors is held by an individual, a group or another company is a “controlled company” and may elect not to comply with certain corporate governance requirements of Nasdaq, including:</w:t>
      </w:r>
    </w:p>
    <w:p>
      <w:pPr>
        <w:spacing w:after="0" w:line="12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nominating or corporate governance committee be composed entirely of independent directors with a written charter addressing the committee’s purpose and responsibilities, or if no such committee exists, that its director nominees be selected or recommended by independent directors constituting a majority of the board’s independent directors in a vote in which only independent directors participate, and an annual performance evaluation of the committee; and</w:t>
      </w:r>
    </w:p>
    <w:p>
      <w:pPr>
        <w:spacing w:after="0" w:line="1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compensation committee be composed entirely of independent directors with a written charter addressing the committee’s purpose and responsibilities and an annual performance evaluation of the committee.</w:t>
      </w:r>
    </w:p>
    <w:p>
      <w:pPr>
        <w:spacing w:after="0" w:line="108"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Following this offering, we intend to utilize certain of these exemptions. As a result, we do not expect that the nominating and corporate governance committee will consist entirely of independent directors upon the consummation of the offering. Accordingly, you will not have the same protections afforded to stockholders of companies that are subject to all of the corporate governance requirements of Nasdaq.</w:t>
      </w:r>
    </w:p>
    <w:p>
      <w:pPr>
        <w:spacing w:after="0" w:line="118"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series structure of our common stock and the existing ownership of capital stock by our co-founders and their affiliates have the effect of concentrating voting control with our co-founders and their affiliates for the foreseeable future, which will limit your ability to influence corporate matters.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Series B common stock has twenty votes per share, and our Series A common stock, which is the stock we are offering in this initial public offering, has one vote per share. Given the greater number of votes per share attributed to our Series B common stock, our co-founders, who beneficially own all shares of our Series B common stock, will, together with the Series A common stock held by their affiliated co-founder trusts, collectively beneficially own shares representing approximately 86.5% of the voting power of our outstanding capital stock (or 85.9% if the underwriters exercise their option to purchase additional shares of our Series A common stock from the co-founder trusts in full) following the completion of this offering. Consequently, the holders of Series B common stock collectively will continue to be able to control a majority of the voting power even if their stock holdings represent as few as approximately 8.4% of the outstanding number of shares of our common stock. Further, our co-founders and their affiliated co-founder trusts will collectively own shares representing approximately 54.9% of the economic interest (or 53.0% if the underwriters exercise their option to purchase additional shares of our Series A common stock from the co-founder trusts in full) and 86.5% of the voting power (or 85.9% if the underwriters exercise their option to purchase additional shares of our Series A common stock from the co-founder trusts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of our outstanding capital stock following this offering and, together with our other executive officers, directors and their affiliates, will own shares representing approximately 73.1% of the economic interest (or 71.3% if the underwriters exercise their option to purchase additional shares of our Series A common stock from the co-founder trusts in full) and 92.0% of the voting power (or 91.4% if the underwriters exercise their option to purchase additional shares of our Series A common stock from the co-founder trusts in full) of our outstanding capital stock following this offering. This concentrated control will limit your ability to influence corporate matters for the foreseeable future. For example, these stockholders will be able to control elections of directors,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Series A common stock. Additionally, the holders of our Series B common stock may cause us to make strategic decisions or pursue acquisitions that could involve risks to you or may not be aligned with your interests. The holders of our Series B common stock will also be entitled to a separate vote in the event we seek to amend our amended and restated certificate of incorporation to increase or decrease the par value of a class of our common stock or in a manner that alters or changes the powers, preferences or special rights of the Series B common stock in a manner that affects its holders adversely. Future transfers by holders of Series B common stock will generally result in those shares converting on a 1:1 basis to Series A common stock, which will have the effect, over time, of increasing the relative voting power of those holders of Series B common stock who retain their shares in the long-term. In addition, future issuances of our common stock, particularly to our co-founders, would further dilute the voting power of holders of our Series A common stock and could increase the voting power of our co-founders. Future issuances of Series A common stock or Series B common stock to our co-founders could also delay the sunset of the dual series structure of our common stock by increasing the number of shares that they hold, thus preventing or delaying the Triggering Event (as defined below) related to the continued ownership of a certain amount of our securities. For information about our dual series structure, see the section titled “Description of Capital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Series A Common Stock</w:t>
      </w:r>
    </w:p>
    <w:p>
      <w:pPr>
        <w:spacing w:after="0" w:line="17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initial public offering price of our Series A common stock may not be indicative of the market price of our Series A common stock after this offering. There has been no prior market for our Series A common stock. An active market may not develop or be sustainable, and investors may be unable to resell their shares at or above the initial public offering price.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has been no public market for our Series A common stock prior to this offering. The initial public offering price for our Series A common stock was determined through negotiations between the representatives of the underwriters and us and may vary from the market price of our Series A common stock following the completion of this offering. An active or liquid market in our Series A common stock may not develop upon completion of this offering or, if it does develop, it may not be sustainable. In the absence of an active trading market for our Series A common stock, you may not be able to resell those shares at or above the initial public offering price or at all. We cannot predict the prices at which our Series A common stock will trade.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series structure may have on the market price of our Series A common stock.</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series structure will result in a lower or more volatile market price of our Series A common stock,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in certain of their indices. For example, from July 2017 to April 2023, S&amp;P Dow Jones excluded companies with multiple share classes from the S&amp;P Composite 1500 (composed of the S&amp;P 500, S&amp;P MidCap 400 and S&amp;P SmallCap 600). Indices have discretion to reassess and implement such policies with respect to multi-class differing voting right structures. Under any such policies, our dual series structure of our common stock would make us ineligible for inclusion in any of these indices. As a result, the market price of our Series A common stock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trading price of our Series A common stock.</w:t>
      </w:r>
    </w:p>
    <w:p>
      <w:pPr>
        <w:spacing w:after="0" w:line="1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deterring hostile takeovers and delaying or preventing a change in control of our board of directors or management team. Our amended and restated certificate of incorporation and amended and restated bylaws, which will become effective immediately prior to the completion of this offering, include provisions that:</w:t>
      </w:r>
    </w:p>
    <w:p>
      <w:pPr>
        <w:spacing w:after="0" w:line="122" w:lineRule="exact"/>
        <w:rPr>
          <w:sz w:val="20"/>
          <w:szCs w:val="20"/>
          <w:color w:val="auto"/>
        </w:rPr>
      </w:pPr>
    </w:p>
    <w:p>
      <w:pPr>
        <w:ind w:left="660" w:right="10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except with regard to directors nominated by Mr. Wright and Ms. Alder, vacancies on our board of directors shall be filled only by a majority of directors then in office, even though less than a quorum, or by a sole remaining director;</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can be removed for cause only, once Mr. Wright and Ms. Alder no longer controls 50% of the voting power of our capital stock;</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once Mr. Wright and Ms. Alder no longer controls 50% of the voting power of our capital stock, any action required or permitted to be taken by the stockholders must be effected at a duly called annual or special meeting of stockholders and may not be effected by any consent in writing in lieu of a meeting of such stockholders;</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once Mr. Wright and Ms. Alder no longer control 50% of the voting power of our capital stock, special meetings of our stockholders can be called only by our board of directors or the Chairman of our board of directors (prior to such time, special meetings of our stockholders shall be called by our board of directors, the Chairman of our board of directors or our Secretary at the request of our co-founders who collectively hold more than 50% of the voting power of our outstanding capital stock);</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alter or repeal our amended and restated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the holders of our common stock cumulative voting rights with respect to the election of directors, which means that the holders of a majority of the voting power of our outstanding shares of common stock can elect all directors standing for election;</w:t>
      </w:r>
    </w:p>
    <w:p>
      <w:pPr>
        <w:spacing w:after="0" w:line="10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series common stock structure which will provide our co-founders with significant influence over all matters requiring stockholder approval, including the election of directors and significant corporate transactions, such as a merger or other sale of our company or assets; and</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advance notice procedures for stockholders seeking to bring business before our annual meeting of stockholders or to nominate candidates for election as directors at our annual meeting of stockholders.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deter, delay or prevent a change in control of our company. Section 203 imposes certain restrictions on mergers, asset sales or other transactions between us and holders of 15% or more of our common stock. See the section titled “Description of Capital Stock”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to be effective immediately following the completion of this offering designate specific courts as the sole and exclusive forum for certain disputes that may be initiated by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our amended and restated bylaws that will be effective immediately following the completion of this offering, unless we consent in writing to the selection of an alternative forum, the Court of Chancery of the State of Delaware will be the sole and exclusive forum for state law claims for (i) any derivative action or proceeding brought on our behalf, (ii) any action asserting a claim of, or a claim based on, a breach of a fiduciary duty owed by any current or former director, officer or other employee of ours to us or our stockholders, (iii) any action asserting a claim pursuant to any provision of the DGCL, our amended and restated certificate of incorporation or our amended and restated bylaws or as to which the DGCL confers jurisdiction on the Court of Chancery of the State of Delaware or (iv) any action asserting a claim governed by the internal affairs doctrine (collectively, the “Delaware Forum Provision”). The Delaware Forum Provision does not apply to any causes of action arising under the Securities Act of 1933, as amended (the “Securities Act”), or the Exchange Act, or to any claim for which the federal courts have exclusive jurisdiction. Our amended and restated bylaws will further provide that unless we consent in writing to the selection of an alternative forum, the federal district courts of the United States will be the sole and exclusive forum for resolving any complaint asserting a cause of action arising under the Securities Act or the Exchange Act and the respective rules and regulations promulgated thereunder (“Federal Forum Provision”). In addition, our amended and restated bylaws will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the federal forum selection provisions purporting to require claims under the Securities Act be brought in federal court, there is uncertainty as to whether courts in other states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or spend the proceeds of this offering in ways with which you may not agree or in ways that may not yield a return.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for working capital and other general corporate purposes and to fund our growth strategies discussed in this prospectus, including continued investments in our business globally. We may also use a portion of the net proceeds that we receive to acquire or invest in complementary businesses, products, services, technologies or other assets. We do not, however, have any agreements or commitments to enter into any acquisitions or investments at this time. We also intend to use a portion of the net proceeds we receive from this offering to satisfy the anticipated tax withholding and remittance obligations of approximately $81.3 million related to the RSU Net Settlement. Our management will have considerable discretion in the application of the net proceeds, and you will not have the opportunity, as part of your investment decision, to assess whether the proceeds are being used appropriately. The net proceeds may be used for purposes that do not increase the value of our business or increase the risks to you, which could cause the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to decline. Until net proceeds are used, they may be placed in investments that do not produce significant income or that may lose value.</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incurring substantial tax obligations on the initial settlement of our outstanding RSUs in connection with this offering. The manner in which we fund these tax liabilities may have an adverse effect on our financial condition and may further dilute our stockholders.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light of the large number of RSUs that will initially settle in connection with this offering, we anticipate that we will expend substantial funds, primarily using net proceeds from this offering, to satisfy tax withholding and remittance obligations. The RSUs granted prior to the date of this prospectus vest upon the satisfaction of service and liquidity-based conditions. With respect to the RSUs, the service-based condition is generally satisfied over a period of four years. The liquidity-based condition is satisfied on the earlier of our change in control, as defined in the applicable award agreement, or the effective date of a registration statement filed by us under the Securities Act for the sale of our common stock, in each case prior to the expiration date. As a result, such RSUs that have previously satisfied the service-based condition fully vested in connection with the effectiveness of the registration statement of which this prospectus forms a part. In connection with the settlement of these RSUs, we plan to withhold certain shares underlying RSUs and remit income taxes on behalf of the holders of such RSUs at applicable statutory tax withholding rates based on the initial public offering price per share in this offering. See the section titled “Use of Proceeds.”</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Based on the number of RSUs for which the service-based condition was fully satisfied as of the date of this prospectus, and assuming (i) that the value of our Series A common stock at the time of settlement was equal to the initial public offering price of $14.00 per share and (ii) a 42.7% tax withholding rate for the RSUs, we estimate that our tax liability on the settlement date for these RSUs will be approximately $81.3 million in the aggregate. Accordingly, we would expect to deliver an aggregate of approximately 7,793,017 shares of our Series A common stock to RSU holders after withholding an aggregate of approximately 5,805,795 shares of our Series A common stock. The amount of these tax liabilities and withholdings could be higher or lower, depending on, among other things, the actual tax withholding rates and the actual number of RSUs for which the service-based condition has been satisfied on the settlement or vesting date (after accounting for forfeitures prior to the settlement or vesting date). As a result, depending on these factors, we may need to use existing cash, cash equivalents and short-term investments to fund a portion of these tax withholding and remittance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incur immediate and substantial dilution in the net tangible book value of the Series A common stock that you purchase in this offering.</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initial public offering price of our Series A common stock is substantially higher than the pro forma net tangible book value per share of our Series A common stock. Therefore, if you purchase shares of our Series A common stock in this offering, you will pay a price per share that substantially exceeds our pro forma net tangible book value per share after this offering. You will experience immediate dilution of $11.22 per share, representing the difference between our pro forma net tangible book value per share after giving effect to this offering and the initial public offering price. See the section titled “Dilution” for more detail, including the calculation of the pro forma net tangible book value per share of our Series A common stock.</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following this offering, any common stock that we issue under our existing equity incentive plans or other equity incentive plans that we may adopt in the future would dilute the percentage ownership held by the investors who purchase shares of our Series A common stock in this offering. Also, in the future, we may also issue securities in connection with investments, acquisitions or capital raising activities. In particular, the number of shares of our Series A common stock issued in connection with an investment or acquisition or to raise additional equity capital could constitute a material portion of our then-outstanding shares of our Series A common stock. Any such issuance of additional securities in the future may result in additional dilution to you or may adversely impact the price of our Series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in the near future, which could cause the market price of our Series A common stock to drop significantly.</w:t>
      </w:r>
    </w:p>
    <w:p>
      <w:pPr>
        <w:spacing w:after="0" w:line="1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shares in the public market could occur at any time after the expiration of the contractual lock-up period described in the “Underwriting” section of this prospectus. These sales, or the market perception that the holders of a large number of shares intend to sell shares, could significantly reduce the market price of the shares of our Series A common stock and the market price could decline below the initial public offering price. We cannot predict the effect, if any, that future public sales of these securities or the availability of these securities for sale will have on the market price of the shares of our Series A common stock. If the market price of the shares of our Series A common stock was to drop as a result, this might impede our ability to raise additional capital and might cause remaining stockholders to lose all or part of their investments.</w:t>
      </w:r>
    </w:p>
    <w:p>
      <w:pPr>
        <w:spacing w:after="0" w:line="13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the closing of this offering, we will have 154,317,165 shares of our Series A common stock and 21,702,512 shares of our Series B common stock outstanding. This includes 10,714,286 shares of our Series A common stock that we are selling in this offering, which may be resold in the public market immediately.</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co-founders are the holders of all of our outstanding shares of Series B common stock and our co-founders and their affiliated co-founder trusts are the holders of 74,859,131 shares of Series A common stock, collectively representing 39.5% of our outstanding shares on a fully-diluted basis, and our directors, executive officers and employees are the holders of 111,518,926 shares of Series A common stock, collectively representing 58.9% of our outstanding shares on a fully-diluted basis. These holders have agreed with the underwriters that, subject to limited exceptions, for a period ending on the earlier of (i) the opening of trading on the second business day immediately following our public release of earnings for the second quarter following the most recent period for which financial statements are included in this prospectus and (ii) the 180th day after the date of this prospectus, they will not directly or indirectly offer, sell, contract to sell, pledge, grant any option, right or warrant to purchase, purchase any option or contract to sell, lend or otherwise transfer or dispose of any share of Series A common stock or Series B common stock or any securities convertible into or exercisable or exchangeable for such shares, in any manner transfer all or a portion of the economic consequences associated with the ownership of our Series A common stock or Series B common stock or other securities or cause a registration statement or prospectus relating to shares of our Series A common stock or Series B common stock or other securities to be filed without the prior written consent of Goldman Sachs &amp; Co. LLC and J.P. Morgan Securities LLC, who may, in their sole discretion and at any time, release all or any portion of the shares subject to these lock-up agreements. Following the expiration of the lock-up period, these shares of Series A common stock, including the shares of Series A common stock issuable upon conversion of the Series B common stock, will be available for sale in the public markets subject to restrictions under applicable securities laws.</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Moreover, after this offering, certain of our stockholders will have certain rights to require us to file registration statements in the United States covering their shares or to include their shares in registration statements or prospectuses that we may file for ourselves or on behalf of other stockholders, subject to some conditions and the lock-up agreements described above.</w:t>
      </w:r>
    </w:p>
    <w:p>
      <w:pPr>
        <w:spacing w:after="0" w:line="12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Further, we cannot predict the size of future issuances of our Series A common stock or the effect, if any, that future issuances and sales of our Series A common stock will have on the market price of our Series A common stock. Sales of substantial amounts of our shares, or the perception that such sales could occur, may adversely affect prevailing market prices for our Series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securities. We do not have any present intention to pay cash dividends on shares of our Series A common stock, and we do not anticipate paying any cash dividends on shares of our Series A common stock in the foreseeable future. We currently intend to invest our future earnings, if any, to fund our growth. Any future determination as to the declaration and payment of dividends, if any, will be at the discretion of our board of directors and will depend on our financial condition, operating results, contractual restrictions, capital requirements, business prospects and other factors our board of directors may deem relevant.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result, stockholders must rely on sales of their Series A common stock after price appreciation as the only way to realize any future gains on their investment.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Series A common stock may be volatile, and you could lose all or part of your investment.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price of our Series A common stock following this offering is likely to be volatile and could be subject to fluctuations in response to various factors, some of which are beyond our control. These fluctuations could cause you to lose all or part of your investment in our Series A common stock since you might be unable to sell your shares at or above the price you paid in this offering. Factors that could cause fluctuations in the trading price of our Series A common stock include the following:</w:t>
      </w:r>
    </w:p>
    <w:p>
      <w:pPr>
        <w:spacing w:after="0" w:line="12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our Series A common stock made available for trading;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Series A common stock by us or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solutions, services, products or platform features;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privacy or security breaches or other incidents;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services or technologies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 the United States or globally;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lock-up agreements and market stand-off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117"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public health concerns or epidemics, such as pandemics, natural disasters or responses to these events;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uses of net proceeds from this offering.</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and financial performance may differ from any projections that we disclose or any information that may be attributed to us by third parties.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time to time, we will provide guidance via public disclosure regarding our projected business or financial performances. However, any such projections involve risks, assumptions and uncertainties, and our actual results could differ materially from such projections. Factors that could cause or contribute to such differences include, but are not limited to, those identified in this section, some or all of which are not predictable or within our control.</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and other publishers often make statements regarding our historical or projected business or financial performances, and we cannot assure you of the reliability of any such information even if it is attributed directly or indirectly to us.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allocations made to retail investors by the underwriters and through our directed share program discussed above, we anticipate that a portion of our Series A common stock offered hereby will, at our request, be offered to retail investors through SoFi Securities LLC (“SoFi”) and Robinhood Financial LLC (“Robinhood”), via their respective online brokerage platforms. SoFi and Robinhood will act as selling group members for this offering. These platforms are not affiliated with us. There may be risks associated with the use of such platforms that we cannot foresee, including risks related to the technology and operation of such platforms, and the publicity and the use of social media by users of such platforms that we cannot control.</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trading market for our Series A common stock will depend in part on the research and reports that securities or industry analysts publish about us or our business, our market and our competitors. Securities or industry analysts do not currently provide coverage of our Series A common stock, and we cannot assure you that any securities or industry analysts will adequately provide research coverage of our Series A common stock after the listing of our Series A common stock on Nasdaq.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an important contributor to our success to date has been our corporate culture, which we believe fosters innovation, teamwork and passion for our brand. Other than our executive officers, as a result of our growth, most of our employees have been with us for fewer than two years. As we continue to grow and develop the infrastructure of a public company, we must effectively integrate, develop and motivate a growing number of new employees, including employees in international markets. As a result, we may find it difficult to maintain important aspects of our corporate culture, which could limit our ability to innovate and operate effectively.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preserve our culture could also negatively affect our ability to retain and recruit personnel, continue to perform at current levels or execute on our business strategy.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natural disasters, terrorism, acts of war and public health issues may adversely affect our business.</w:t>
      </w:r>
    </w:p>
    <w:p>
      <w:pPr>
        <w:spacing w:after="0" w:line="17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Natural disasters, including earthquakes, hurricanes, floods and tornadoes could affect warehouse operations and the products we sell. Our operations, including warehouse operations, may also be vulnerable to damage or interruption from power loss, telecommunications failures, fires, vandalism and similar events. If our warehouses were affected by such disasters, we would incur substantial losses. While many of these losses may be recoverable through our insurance policies, our revenues could be affected in the short term as a result. In addition, acts of terrorism, acts of war and military action both in the United States and abroad can have a significant effect on economic conditions and may negatively affect our ability to purchase merchandise from brand partners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brand partners’ operations, our operations, marketplaces’ operations, our customers or consumer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our locations, which could have a material adverse effect on our business, financial condition and results of operations. Any significant declines in public safety or uncertainties regarding future economic prospects that affect consumer spending habits could have a material adverse effect on customer purchases of our brand partners’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 long-term impact on our business.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 that there are inherent climate-related risks wherever business is conducted. Any of our primary office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currently has a low-assessed risk of disrupting our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critical infrastructure of the United States and other major regions, have the potential to disrupt our business, our brand partners and/or marketplaces,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could be adversely affected if the financial institutions in which we hold our cash fail.</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maintain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prospectus, including statements regarding our strategy, future operations, financial position, estimated revenues and losses, projected costs, prospects, plans and objectives of management are forward-looking statements.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3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costs and other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size of our addressable market opportunity;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 of the markets in which we compete;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existing and attract new brand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enhance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and monetize incremental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global geographies;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AI successfully in our current and future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our estimates regarding our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selling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senior management and our ability to identify, recruit and integrate strategic personnel hires;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the net proceeds from this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quality purchasing experience for our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purchase products from our brand partners (including expanding product selection);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and innovate our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global geographies and marketplaces;</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other macroeconomic factors, such as fluctuating interest rates and rising inflation, including the impact on consumer spending;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business and geopolitical conditions worldwide on our industry,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prospectus primarily on management’s current beliefs and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regarding our industry and the markets in which we operate that are based on various sources, including independent industry publications and other publicly available information, as well as other information based on our internal sources. Some data and other information contained in this prospectus are also based on management’s estimates and calculations, which are derived from our review and interpretation of internal and independent sources. Data regarding the industries in which we compete and our market position and market share within these industries is inherently imprecise and is subject to significant business, economic and competitive uncertainties beyond our control, but we believe it generally indicates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and you are cautioned not to give undue weight to these estimates.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The content of, or accessibility through, the below sources and websites, except to the extent specifically set forth in this prospectus, does not constitute a portion of this prospectus and is not incorporated herein and any websites are an inactive textual reference only.</w:t>
      </w:r>
    </w:p>
    <w:p>
      <w:pPr>
        <w:spacing w:after="0" w:line="14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sources of the statistical data, estimates and market and industry data contained in this prospectus are identified by superscript notations and are provided below:</w:t>
      </w:r>
    </w:p>
    <w:p>
      <w:pPr>
        <w:spacing w:after="0" w:line="10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Euromonitor International Passport: Retail, 2025 edition, US$, fixed 2024 exchange rate, current terms;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Industry KPIs: Advertising on Amazon is getting more expensive, but ROAS is holding steady – March 2024;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Over 60% of US online shoppers start their product search on Amazon – August 2022;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US Ecommerce by Category 2024: A Slowdown in Growth Reshapes the Landscape – February 2024;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Intelligence (eMarketer), Share of users purchasing on TikTok in the United States from 2020 to 2023 – August 2022 (ID #1416784);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Factset, Ecommerce Intelligence (ID # FI3435US) (Accessed on July 28, 2025);</w:t>
      </w:r>
    </w:p>
    <w:p>
      <w:pPr>
        <w:spacing w:after="0" w:line="171" w:lineRule="exact"/>
        <w:rPr>
          <w:rFonts w:ascii="Times New Roman" w:cs="Times New Roman" w:eastAsia="Times New Roman" w:hAnsi="Times New Roman"/>
          <w:sz w:val="18"/>
          <w:szCs w:val="18"/>
          <w:color w:val="auto"/>
        </w:rPr>
      </w:pPr>
    </w:p>
    <w:p>
      <w:pPr>
        <w:ind w:left="660" w:right="1620" w:hanging="328"/>
        <w:spacing w:after="0" w:line="312" w:lineRule="auto"/>
        <w:tabs>
          <w:tab w:leader="none" w:pos="65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Dive, Thirty percent of consumers use more than three commerce channels: Study, https://www.retaildive.com/ex/mobilecommercedaily/thirty-percent-of-consumers-use-more-than-three-commerce-channels;</w:t>
      </w:r>
    </w:p>
    <w:p>
      <w:pPr>
        <w:spacing w:after="0" w:line="31" w:lineRule="exact"/>
        <w:rPr>
          <w:rFonts w:ascii="Times New Roman" w:cs="Times New Roman" w:eastAsia="Times New Roman" w:hAnsi="Times New Roman"/>
          <w:sz w:val="17"/>
          <w:szCs w:val="17"/>
          <w:color w:val="auto"/>
        </w:rPr>
      </w:pPr>
    </w:p>
    <w:p>
      <w:pPr>
        <w:ind w:left="660" w:right="188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Incopro, Counterfeit products are endemic – and it is damaging brand value – July 2019, https://www.incoproip.com/wp-content/uploads/2020/02/Incopro-Market-Research-Report.pdf;</w:t>
      </w:r>
    </w:p>
    <w:p>
      <w:pPr>
        <w:spacing w:after="0" w:line="53" w:lineRule="exact"/>
        <w:rPr>
          <w:rFonts w:ascii="Times New Roman" w:cs="Times New Roman" w:eastAsia="Times New Roman" w:hAnsi="Times New Roman"/>
          <w:sz w:val="18"/>
          <w:szCs w:val="18"/>
          <w:color w:val="auto"/>
        </w:rPr>
      </w:pPr>
    </w:p>
    <w:p>
      <w:pPr>
        <w:ind w:left="660" w:right="41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JungleScout, Amazon Product Ranking: How to Rank Page One on Amazon – May 2024, https://www.junglescout.com/resources/articles/amazon-product-ranking/;</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Pulse, Top Amazon Marketplace Sellers, https://www.marketplacepulse.com/top-amazon-usa-sellers (Accessed on November 3, 2024); and</w:t>
      </w:r>
    </w:p>
    <w:p>
      <w:pPr>
        <w:spacing w:after="0" w:line="107" w:lineRule="exact"/>
        <w:rPr>
          <w:rFonts w:ascii="Times New Roman" w:cs="Times New Roman" w:eastAsia="Times New Roman" w:hAnsi="Times New Roman"/>
          <w:sz w:val="18"/>
          <w:szCs w:val="18"/>
          <w:color w:val="auto"/>
        </w:rPr>
      </w:pPr>
    </w:p>
    <w:p>
      <w:pPr>
        <w:ind w:left="660" w:right="280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ECDB, ByteDance on the Fast Track With a High Level of Revenue and Strong Growth – January 28, 2025, https://ecommercedb.com/insights/the-top-5-global-ecommerce-companies/5053.</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in this prospectus on the ecommerce industry is from independent market research carried out by Euromonitor International Limited but should not be relied upon in making, or refraining from making, any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net proceeds from the sale of shares of our Series A common stock that we are selling in this offering will be approximately</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$134.5 million, based upon the initial public offering price of $14.00 per share, and after deducting underwriting discounts and commissions and estimated offering expenses payable by us. We will not receive any proceeds from the sale of the shares of Series A common stock being offered by the selling stockholders, including upon the sale of shares of Series A common stock by the co-founder trusts if the underwriters exercise their option to purchase additional shares in full.</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increase our financial flexibility, create a public market for our Series A common stock, and enable access to the public equity markets for our stockholders and us. We currently intend to use the net proceeds that we will receive from this offering for working capital and other general corporate purposes and to fund our growth strategies discussed in this prospectus, including continued investments in our business globally. We may also use a portion of the net proceeds that we receive to acquire or invest in complementary businesses, products, services, technologies or other assets. We do not, however, have any agreements or commitments to enter into any acquisitions or investments at this time.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use a portion of the net proceeds we receive from this offering to satisfy the anticipated tax withholding and remittance obligations of approximately $81.3 million related to the settlement of our outstanding RSUs in connection with this offering, based on (i) 12,533,691 RSUs outstanding for which the service-based vesting condition has been satisfied as of June 30, 2025, and (ii) an additional 1,065,121 RSUs for which the service-based condition was satisfied as of the date of this prospectus, and for which the liquidity-based vesting conditions were satisfied in connection with this offering, based on the initial public offering price of $14.00 per share, and an assumed 42.7% tax withholding rate.</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specify with certainty the particular uses of the net proceeds that we will receive from this offering or the amounts we actually spend on the uses set forth above. The timing and amount of our actual expenditures will be based on many factors, including cash flows from operations and the anticipated growth of our business. Pending the use of proceeds from this offering as described above, we plan to invest a portion of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117"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capital stock. We currently intend to retain any future earnings, if any, to fund the development and expansion of our business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117"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cash and restricted cash, as well as our capitalization, as of June 30, 2025 as follows:</w:t>
      </w:r>
    </w:p>
    <w:p>
      <w:pPr>
        <w:spacing w:after="0" w:line="17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71"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(i) the filing and effectiveness of our amended and restated certificate of incorporation and the adoption of our amended and restated bylaws, (ii) the Reclassifications, (iii) the Convertible Preferred Stock Conversion, (iv) the RSU Net Settlement, (v) the increase in other accrued liabilities and an equivalent decrease in additional paid-in capital in connection with tax withholding and remittance obligations related to the RSU Net Settlement, (vi) $72.7 million of cumulative share-based compensation expense related to the RSUs for which the service-based condition was satisfied as of June 30, 2025 (adjusted for forfeitures through the date of this prospectus) and for which the liquidity event condition was satisfied in connection with this offering and (vii) $39.9 million of cumulative tax benefit related to RSUs for which the service-based condition was satisfied as of June 30, 2025 (adjusted for forfeitures through the date of this prospectus) and for which the liquidity event condition was satisfied in connection with this offering; and</w:t>
      </w:r>
    </w:p>
    <w:p>
      <w:pPr>
        <w:spacing w:after="0" w:line="13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giving effect to (i) the pro forma adjustments set forth above and (ii) the sale and issuance by us of 10,714,286 shares of our Series A common stock and the sale by the selling stockholders of 10,714,286 shares of our Series A common stock in this offering, based on the initial public offering price of $14.00 per share, after deducting the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60"/>
          </w:cols>
          <w:pgMar w:left="320" w:top="117"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 titled “Management’s Discussion and Analysis of Financial Condition and Results of Operations” that are included elsewhere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as Adjusted</w:t>
            </w:r>
          </w:p>
        </w:tc>
        <w:tc>
          <w:tcPr>
            <w:tcW w:w="0" w:type="dxa"/>
            <w:vAlign w:val="bottom"/>
          </w:tcPr>
          <w:p>
            <w:pPr>
              <w:spacing w:after="0"/>
              <w:rPr>
                <w:sz w:val="1"/>
                <w:szCs w:val="1"/>
                <w:color w:val="auto"/>
              </w:rPr>
            </w:pPr>
          </w:p>
        </w:tc>
      </w:tr>
      <w:tr>
        <w:trPr>
          <w:trHeight w:val="254"/>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268,472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Convertible preferred stock, $0.001 par value, 28,972 shares authorized, 28,966 shares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3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issued and outstanding, actual; no shares authorized, issued and outstanding, pro</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154,100 shares authorized, 3,799 shares issued and</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outstanding, actual; no shares authorized, issued and outstanding, pro forma and pro</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88,869 shares authorized, 86,792 shares issued and</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outstanding, actual; 200,000 shares authorized, no shares issued and outstanding, pro</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 common stock, $0.001 par value; no shares authorized, issued and</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outstanding, actual; 2,200,000 shares authorized, 143,603 shares issued and</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outstanding, pro forma; and 2,200,000 shares authorized, 154,317 shares issued and</w:t>
            </w:r>
          </w:p>
        </w:tc>
        <w:tc>
          <w:tcPr>
            <w:tcW w:w="340" w:type="dxa"/>
            <w:vAlign w:val="bottom"/>
          </w:tcPr>
          <w:p>
            <w:pPr>
              <w:spacing w:after="0"/>
              <w:rPr>
                <w:sz w:val="15"/>
                <w:szCs w:val="15"/>
                <w:color w:val="auto"/>
              </w:rPr>
            </w:pP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3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B common stock, $0.001 par value; no shares authorized, issued and</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outstanding, actual; 100,000 shares authorized, 21,702 shares issued and outstanding,</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pro forma; and 100,000 shares authorized, 21,702 shares issued and outstanding, pro</w:t>
            </w:r>
          </w:p>
        </w:tc>
        <w:tc>
          <w:tcPr>
            <w:tcW w:w="3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3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519,869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Retained earnings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518,831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384,331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518,831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40" w:hanging="332"/>
        <w:spacing w:after="0" w:line="260"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this table, pro forma adjustments to additional paid-in capital (“APIC”) and retained earnings give effect to (i) the reduction to retained earnings related to stock-based compensation of $72.7 million offset by the associated tax benefit of $39.9 million, (ii) the Founder Preferred Stock Reclassifications, which includes an other expense of $32.6 million, resulting in a reduction to retained earnings and a corresponding increase in APIC and (iii) the deemed dividend for the Series B Preferred Stock Conversion of $231.3 million, which first reduces retained earnings to zero, resulting in a decrease of $88.0 million, and the remaining deemed dividend is treated as a reclassification within APIC. The pro forma adjustments to APIC also give effect to (i) the reclassification of convertible preferred stock into APIC of $270.6 million and (ii) the anticipated tax withholding and remittance obligations of approximately $81.3 million related to the RSU Net Settlement.</w:t>
      </w:r>
    </w:p>
    <w:p>
      <w:pPr>
        <w:spacing w:after="0" w:line="14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pro forma column in the table above is based on 143,602,879 shares of our Series A common stock and 21,702,512 shares of our Series B common stock outstanding as of June 30, 2025, and excludes:</w:t>
      </w:r>
    </w:p>
    <w:p>
      <w:pPr>
        <w:spacing w:after="0" w:line="108" w:lineRule="exact"/>
        <w:rPr>
          <w:sz w:val="20"/>
          <w:szCs w:val="20"/>
          <w:color w:val="auto"/>
        </w:rPr>
      </w:pPr>
    </w:p>
    <w:p>
      <w:pPr>
        <w:ind w:left="660" w:right="4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7,497,095 shares of our Series A common stock that are issuable in connection with the settlement of RSUs issued pursuant to our 2019 Plan upon the satisfaction of both a service-based condition and a liquidity event condition outstanding as of the date of this prospectus, for which the service-based condition was not yet satisfied as of the date of this prospectus and for which the liquidity event condition was satisfied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60" w:hanging="328"/>
        <w:spacing w:after="0" w:line="25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12,345,407 shares of our Series A common stock reserved for future issuance under our 2025 Plan, which became effective on the day prior to the effectiveness of the registration statement of which this prospectus forms a part, including 8,742,802 new shares and the number of shares (not to exceed 12,345,407 shares) (i) that remain available for grant of future awards under the 2019 Plan, at the time the 2025 Plan becomes effective, which shares will cease to be available for issuance under the 2019 Plan at such time, and (ii) any shares underlying awards granted under the 2019 Plan that are forfeited, cancelled, held back, reacquired or are otherwise terminated; and</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3,086,351 shares of our Series A common stock reserved for future issuance under our ESPP.</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2025 Plan and the ESPP provide for annual automatic increases in the number of shares of our Series A common stock reserved thereunder, and the 2025 Plan provides for increases to the number of shares of our Series A common stock that may be granted thereunder based on shares underlying any awards under the 2025 Plan and the 2019 Plan that are forfeited, cancelled or are otherwise terminated, as more fully described in the section titled “Executive Compensation—Employee Benefit and Equity Compensation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Stock Conversion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Series B Preferred Stock Conversion reflects the automatic conversion of all 13,215,614 shares of our Series B Preferred Stock into shares of Series A common stock immediately prior to the completion of this offering pursuant to the terms of our amended and restated certificate of incorporation as currently in effect. Each share of Series B Preferred Stock converts into a number of shares of Series A common stock determined by dividing the original issue price of such share by the lesser of (a) the original issue price of such share (subject to certain anti-dilution adjustments) and (b) the initial public offering price per share in this offering discounted by 50.0% (the “Series B Preferred Special Conversion Ratio”). Based upon the initial public offering price of $14.00 per share, the outstanding shares of our Series B Preferred Stock will convert into an aggregate of 32,129,234 shares of our Series A common stock. See </w:t>
      </w:r>
      <w:r>
        <w:rPr>
          <w:rFonts w:ascii="Times New Roman" w:cs="Times New Roman" w:eastAsia="Times New Roman" w:hAnsi="Times New Roman"/>
          <w:sz w:val="18"/>
          <w:szCs w:val="18"/>
          <w:i w:val="1"/>
          <w:iCs w:val="1"/>
          <w:color w:val="auto"/>
        </w:rPr>
        <w:t>Note 9—Convertible Preferred Stock</w:t>
      </w:r>
      <w:r>
        <w:rPr>
          <w:rFonts w:ascii="Times New Roman" w:cs="Times New Roman" w:eastAsia="Times New Roman" w:hAnsi="Times New Roman"/>
          <w:sz w:val="18"/>
          <w:szCs w:val="18"/>
          <w:color w:val="auto"/>
        </w:rPr>
        <w:t>, in the section titled “Notes to Consolidated Financial Statements” included elsewhere in this prospectus for additional information regarding our Series B Preferred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Preferred Stock Adjustments</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Pursuant to the terms of our amended and restated certificate of incorporation as currently in effect, if, immediately after the application of the Series B Preferred Special Conversion Ratio in connection with this offering, the Founder Preferred Stock ownership percentage would be diluted by more than</w:t>
      </w: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3.33%, the number of shares of our existing common stock into which each share of Founder Preferred Stock shall be convertible in connection with the closing of this offering (and the Series A common stock and Series B common stock issuable in the Founder Preferred Stock Reclassifications) shall be increased such that the dilution to the Founder Preferred Stock will be capped at 3.33%; however, no adjustment will be made for any incremental dilution that exceeds 9.00% (the “Founder Preferred Stock Adjustments”). Based upon the initial public offering price of $14.00 per share, the aggregate of 86,792,374 outstanding shares of our Founder Preferred Stock will reclassify into an aggregate of 105,833,883 shares of our Series B common stock and Series A common stock. See </w:t>
      </w:r>
      <w:r>
        <w:rPr>
          <w:rFonts w:ascii="Times New Roman" w:cs="Times New Roman" w:eastAsia="Times New Roman" w:hAnsi="Times New Roman"/>
          <w:sz w:val="18"/>
          <w:szCs w:val="18"/>
          <w:i w:val="1"/>
          <w:iCs w:val="1"/>
          <w:color w:val="auto"/>
        </w:rPr>
        <w:t>Note 13—Subsequent Events</w:t>
      </w:r>
      <w:r>
        <w:rPr>
          <w:rFonts w:ascii="Times New Roman" w:cs="Times New Roman" w:eastAsia="Times New Roman" w:hAnsi="Times New Roman"/>
          <w:sz w:val="18"/>
          <w:szCs w:val="18"/>
          <w:color w:val="auto"/>
        </w:rPr>
        <w:t>, in the section titled “Notes to Unaudited Condensed Consolidated Financial Statements” included elsewhere in this prospectus for additional information regarding our Founder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you invest in our Series A common stock in this offering, your ownership interest will be diluted to the extent of the difference between the initial public offering price per share of our Series A common stock and the pro forma as adjusted net tangible book value per share of our Series A common stock immediately after this offering. Net tangible book value dilution per share to new investors represents the difference between the amount per share paid by purchasers of shares of Series A common stock in this offering and the pro forma as adjusted net tangible book value per share of Series A common stock immediately after completion of this offering.</w:t>
      </w:r>
    </w:p>
    <w:p>
      <w:pPr>
        <w:spacing w:after="0" w:line="1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pro forma net tangible book value as of June 30, 2025 was $349.3 million, or $2.11 per share, based on the total number of shares of our common stock outstanding as of June 30, 2025, after giving effect to (i) the filing and effectiveness of our amended and restated certificate of incorporation and the adoption of our amended and restated bylaws, (ii) the Reclassifications, (iii) the Convertible Preferred Stock Conversion, (iv) the RSU Net Settlement, (v) the increase in other accrued liabilities and an equivalent decrease in additional paid-in capital in connection with tax withholding and remittance obligations related to the RSU Net Settlement, (vi) $72.7 million of cumulative share-based compensation expense related to the RSUs for which the service-based condition was satisfied as of June 30, 2025 (adjusted for forfeitures through the date of this prospectus) and for which the liquidity event condition was satisfied in connection with this offering and (vii) $39.9 million of cumulative tax benefit related to RSUs for which the service-based condition was satisfied as of June 30, 2025 (adjusted for forfeitures through the date of this prospectus) and for which the liquidity event condition was satisfied in connection with this offering.</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by us of 10,714,286 shares of our Series A common stock in this offering at the initial public offering price of $14.00 per share, after deducting underwriting discounts and commissions and estimated offering expenses payable by us, our pro forma as adjusted net tangible book value as of June 30, 2025 would have been $488.8 million, or $2.78 per share. This represents an immediate increase in pro forma net tangible book value of $0.66 per share to our existing stockholders and immediate dilution of $11.22 per share to investors purchasing shares of our Series A common stock in this offering. There is no impact on dilution per share to investors participating in this offering as a result of the sale of shares of Series A common stock by the selling stockholders. The following table illustrates this dilution: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6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2025</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per share attributable to the pro forma adjustments described</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2025</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in pro forma net tangible book value per share to new investors in this offering</w:t>
            </w: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presents, on a pro forma as adjusted basis as of June 30, 2025, the differences between the existing stockholders and the new investors purchasing shares of our Series A common stock in this offering with respect to the number of shares purchased from us, the total consideration paid or to be paid to us, which includes net proceeds received from the issuance of common stock, and the average price per share paid or to be paid to us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of $14.00 per share, before deducting underwriting discounts and commissions and estimated offering expenses payable by 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50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4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stockholders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93.9 %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64.6 %</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purchasing shares of our Series A</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common stock in this offering</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35.4 %</w:t>
            </w:r>
          </w:p>
        </w:tc>
        <w:tc>
          <w:tcPr>
            <w:tcW w:w="2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423,457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of Series A common stock from the co-founder trusts. Sales by the selling stockholders in this offering will reduce the number of shares held by existing stockholders to 154,591,105, or approximately 87.8% of the total shares of common stock outstanding after completion of this offering, and will increase the number of shares held by investors purchasing shares in this offering to 10,714,286, or approximately 12.2% of the total shares of common stock outstanding after the completion of this offering.</w:t>
      </w:r>
    </w:p>
    <w:p>
      <w:pPr>
        <w:spacing w:after="0" w:line="1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of Series A common stock. If the underwriters exercise their option to purchase additional shares of Series A common stock from the co-founder trusts in full, our existing stockholders will own 86.0% and our new investors would own 14.0% of the total number of shares of our common stock outstanding upon the completion of this offering.</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number of shares of our Series A common stock and Series B common stock that will be outstanding after this offering is based on 143,602,879 shares of our Series A common stock and 21,702,512 shares of our Series B common stock outstanding as of June 30, 2025, in each case, after giving effect to the Reclassifications and the Convertible Preferred Stock Conversion, and the net issuance of Series A common stock issuable pursuant to the vesting and settlement of RSUs for which the service-based condition was satisfied as of June 30, 2025, and excludes:</w:t>
      </w:r>
    </w:p>
    <w:p>
      <w:pPr>
        <w:spacing w:after="0" w:line="126" w:lineRule="exact"/>
        <w:rPr>
          <w:sz w:val="20"/>
          <w:szCs w:val="20"/>
          <w:color w:val="auto"/>
        </w:rPr>
      </w:pPr>
    </w:p>
    <w:p>
      <w:pPr>
        <w:ind w:left="660" w:right="4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7,497,095 shares of our Series A common stock that are issuable in connection with the settlement of RSUs issued pursuant to our 2019 Plan upon the satisfaction of both a service-based condition and a liquidity event condition outstanding as of the date of this prospectus, for which the service-based condition was not yet satisfied as of the date of this prospectus and for which the liquidity event condition was satisfied in connection with this offering;</w:t>
      </w:r>
    </w:p>
    <w:p>
      <w:pPr>
        <w:spacing w:after="0" w:line="125"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12,345,407 shares of our Series A common stock reserved for future issuance under our 2025 Plan, which became effective on the day prior to the effectiveness of the registration statement of which this prospectus forms a part, including 8,742,802 new shares and the number of shares (not to exceed 12,345,407 shares) (i) that remain available for grant of future awards under the 2019 Plan, at the time the 2025 Plan becomes effective, which shares will cease to be available for issuance under the 2019 Plan at such time, and (ii) any shares underlying awards granted under the 2019 Plan that are forfeited, cancelled, held back, reacquired or are otherwise terminated; and</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3,086,351 shares of our Series A common stock reserved for future issuance under our ESPP.</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2025 Plan and the ESPP provide for annual automatic increases in the number of shares of our Series A common stock reserved thereunder, and the 2025 Plan provides for increases to the number of shares of our Series A common stock that may be granted thereunder based on shares underlying any awards under the 2025 Plan and the 2019 Plan that are forfeited, cancelled or are otherwise terminated, as more fully described in the section titled “Executive Compensation—Employee Benefit and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For information on the conversion provisions applicable to our Series B Preferred Stock and the Founder Preferred Stock, see the sections titled “Capitalization—Series B Preferred Stock Conversion” and “Capitalization—Founder Preferred Stock Adjustments” included elsewhere in this prospectus.</w:t>
      </w:r>
    </w:p>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 the extent that any outstanding RSUs vest or new awards are granted under our equity compensation plans,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117"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related notes thereto included elsewhere in this prospectus. The following discussion is intended to help the reader understand our Company, our operations and our present business environment, and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sections titled “Special Note Regarding Forward-Looking Statements” and “Risk Factors.” Our historical results are not necessarily indicative of the results that may be expected for any period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Pattern, we are on a mission to help brands accelerate profitable growth on global ecommerce marketplaces. Today, our proprietary technology and on-demand experts operate across more than 60 marketplaces to increase product sales to consumers in more than 100 countries. Utilizing more than 46 trillion data points and sophisticated machine learning and AI models, we strive to optimize and automate key levers of ecommerce growth, including advertising, content creation and management, pricing, forecasting and customer service. The result is a powerful platform that allows brands to navigate the complexity of operating on global ecommerce marketplaces at scale.</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built an EXP powered by AI and machine learning to execute thousands of optimizations daily and drive the ecommerce equation across tens of thousands of products on marketplaces around the world. These optimizations include automated adjustments and recommendations powered by a massive flow of ecommerce data. We have gathered more than 46 trillion data points to date comprised of keyword, shipping, advertising, sales, market share, click, social, conversion, customer service and other data, a figure which grows by more than 100 billion data points each week on average.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Today, our software, with a combined total of 29 issued patents and patents pending, is supported by approximately 400 software engineers, data scientists and other technology professionals who are dedicated to enhancing and innovating upon our technology to further increase our capabilities. We have a team that offers on-demand expertise and capabilities across marketplace management, marketing, fulfillment and brand protection on a global basis. Today, we sell tens of thousands of products from more than 200 brands across different industries and geographies including the Americas, Europe, Australia and Asia. Our current brand partners’ industry presence includes health and wellness, beauty and personal care, home and lifestyle, pet, sports and outdoors and consumer electronics.</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we generated revenue of $1,796 million, which represents a CAGR of 35% over the last two years. During the same period, our net income increased $71 million from ($3) million to $68 million. Our Adjusted EBITDA during 2024 was $101 million, which represents a CAGR of 138% over the last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88900</wp:posOffset>
            </wp:positionV>
            <wp:extent cx="4937760" cy="1825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3776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we generated revenue of $1,139 million, representing a 35% increase from $841 million for the six months ended June 30, 2024. During the same period, our net income increased 31%, from $35 million to $47 million, and our Adjusted EBITDA increased 33%, from $52 million to $69 million.</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For additional information about our non-GAAP financial measure, including reconciliations of the non-GAAP financial measure to the most directly comparable financial measure stated in accordance with GAAP, see the section titled below “Key Business Metric and Non-GAAP Financial Measure.”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generate the substantial majority of our revenue from consumer product sales on global ecommerce marketplaces. Pattern acquires inventory based on contractual relationships with brand partners and uses its platform to optimize the ecommerce equation by driving traffic, increasing conversion, managing price, and maintaining product availability across global ecommerce marketplaces. We operate on over 60 different marketplaces worldwide.</w:t>
      </w:r>
    </w:p>
    <w:p>
      <w:pPr>
        <w:spacing w:after="0" w:line="12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target brand partners with a proven track record of selling highly rated products, a loyal customer base, and growth potential, assessed through our proprietary scorecard. Using our extensive data, we identify potential brand partners, and our sales team efficiently markets to and signs new brand partners.</w:t>
      </w:r>
    </w:p>
    <w:p>
      <w:pPr>
        <w:spacing w:after="0" w:line="12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have developed and maintain strong and long-lasting brand partner relationships. For the year ended December 31, 2024, approximately 87% of our revenue was attributable to existing brand partners, and more than 48% of our revenue was attributable to brand partners that have been with Pattern for more than five years. Revenue attributable to brand partners consists of consumer product sales and other revenue, including subscription and consulting fees. Our NRR for the year ended December 31, 2024 was 116%, and was 118% for the period ended June 30, 2025. See the section titled below “—Key Business Metric and Non-GAAP Financial Measure” for information on how we define and calculate NRR.</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Purchasing our brand partners’ products offers several advantages, creating a mutually beneficial partnership that supports growth for both Pattern and our brand partners by:</w:t>
      </w:r>
    </w:p>
    <w:p>
      <w:pPr>
        <w:spacing w:after="0" w:line="10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low-friction model where brands simply sell their products to Pattern at predetermined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need for brands to allocate technology and overhead budget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Pattern to manage the marketplace experience and optimize the ecommerce equation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Pattern to gather data, conduct real-time testing, and enhance predictive models with AI</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mitigate inventory risk by leveraging data, experience, and pricing models to more accurately forecast demand and make cost-effective inventory purchases. By considering all shipping, logistics and fulfillment costs, we ensure precise expected pricing and rarely need to discount products we sell to drive demand. Our effective management of the working capital cycle seeks to balance cash required for inventory purchases with our cash conversion cycle. As a result, our weighted average inventory write-off as a percentage of our revenue has been less than 0.2% over the last three years, and in 2024, our inventory turnover ratio was 4.5x and our North American in-stock rate was 96%.</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operating model capitalizes on global economies of scale to optimize costs while investing in future growth. By managing more brand partners, we streamline logistics, reducing delivery times and costs. As we enhance operational efficiencies, we remain committed to innovating our technology, expanding capabilities, and offering new solutions to our partners. Investments in technology and warehouse automation have significantly boosted our operational efficiency and realize tangible economic benefits from scale. For example, the global units processed throughout cross-dock facilities increased by 65% from 2022 to 2024 with only 12% increase in square footage for cross-dock facilities during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80"/>
          </w:cols>
          <w:pgMar w:left="320" w:top="117"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Contractual Arrangements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Pattern enters into written agreements that grant us the right to purchase products from brand partners at pre-determined prices and the exclusive rights to sell those products on marketplaces as their ecommerce acceleration solution. Typically, these agreements have an initial term of one year. Following the initial term, the agreements automatically renew for successive one-year periods, with either party retaining the right to terminate for convenience with written notice.</w:t>
      </w:r>
    </w:p>
    <w:p>
      <w:pPr>
        <w:spacing w:after="0" w:line="12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Pattern manages advertising spend funded by the brand partners through our platform without an advertising fee markup. Where applicable, the products we sell are subject to our brand partners’ pricing policies, which set a cross-channel baseline for pricing to prevent advertised prices from dropping below a brand-determined level. However, those policies do not prevent us from independently setting the price at which we sell our products. Generally, if we experience an extended featured offer</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loss or suppression for a brand partner’s products, the brand partner will fund the necessary promotional price difference. Similarly, marketplace fees are a structural expense we encounter as the seller of record on marketplaces and our agreements with brand partners allow us to adjust the product purchase price we pay to brand partners on account of changes in marketplace fees. These contractual features are designed to allow Pattern to maintain stable economics.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Occasionally, we hold inventory for longer than our average during 2024 of 82 days due to specific circumstances, and our contracts usually include an aged inventory clause. This clause provides us with several avenues to work with brand partners to limit the exposure of aged inventory. To further mitigate inventory risk, if a brand partner seeks to terminate a contract, they are generally obligated to repurchase any excess inventory from us after a sell-off period at the original price we paid for the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improve our results of operations and maintain or increase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and growth with our Existing Brand Partners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retain and grow our revenue attributable to existing brand partners drives our overall revenue growth through continued optimization of the ecommerce equation. Additionally, as we accelerate brand partners’ growth, they continue to grant us exclusive access to sell their products, and we seek to expand the number of different products that we are able to sell on an increasing number of marketplaces. The number of marketplaces on which we sell has grown by 50 marketplaces in the last 5 years. For example, we partner with over 60 brands for which we sell products on five or more marketplaces— three times the number since 2022. Additionally, the number of brand partners for which we sell products in more than two countries has doubled since 2022. Our brand partners also fund advertising through our platform to drive traffic for consumer products on marketplaces. In the year ended December 31, 2024, our brand partners invested more than $140 million in advertising spend through our platform.</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chart below illustrates the annual revenue that Pattern generates from certain cohorts of brand partners. Each brand partner is placed in a cohort based upon the year in which we first generated revenue attributable to such brand partner. The annual revenue set forth below for each cohort represents the total revenue attributable to the brand partners in that cohort generated during the applicable year. The revenue we generate attributable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2263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17"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Most marketplaces include some sort of “add to cart” section of a product listing page, which is also known as the featured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11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cohort has generally increased in each year, demonstrating the predictable and resilient revenue that is the foundation of our financial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120015</wp:posOffset>
            </wp:positionV>
            <wp:extent cx="3780155" cy="2357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8015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Identification and onboarding of new brand partners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Onboarding new brand partners is a driver of our growth and attracting brand partners from various geographies and across different categories is crucial to our success. We have made significant investments to create an efficient go-to-market strategy and focus on identifying and partnering with brand partners across a wide range of industries and regions. Our current brand portfolio, which includes over 200 brand partners, represents only a small portion of the global ecommerce market that we believe can benefit from our solutions. Successfully tapping into this opportunity will depend on the effectiveness of our solutions, our ability to effectively sell inventory, the competitive landscape and the strength of our marketing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93980</wp:posOffset>
            </wp:positionV>
            <wp:extent cx="3780155" cy="2785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8015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right="260"/>
        <w:spacing w:after="0" w:line="305" w:lineRule="auto"/>
        <w:rPr>
          <w:sz w:val="20"/>
          <w:szCs w:val="20"/>
          <w:color w:val="auto"/>
        </w:rPr>
      </w:pPr>
      <w:r>
        <w:rPr>
          <w:rFonts w:ascii="Times New Roman" w:cs="Times New Roman" w:eastAsia="Times New Roman" w:hAnsi="Times New Roman"/>
          <w:sz w:val="14"/>
          <w:szCs w:val="14"/>
          <w:i w:val="1"/>
          <w:iCs w:val="1"/>
          <w:color w:val="auto"/>
        </w:rPr>
        <w:t>Existing brand partners refer to brand partners that have been with Pattern for more than twelve months since Pattern first generated over $1,000 in revenue attributable to such brand partner.</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00"/>
          </w:cols>
          <w:pgMar w:left="320" w:top="117" w:right="37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technology</w:t>
      </w:r>
    </w:p>
    <w:p>
      <w:pPr>
        <w:spacing w:after="0" w:line="175"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A key factor influencing our performance is our ongoing investment in our technology platform to optimize the ecommerce equation and enhance our ecommerce acceleration capabilities across global marketplaces. Currently, approximately 400 software engineers, data scientists and other technology professionals support our technology functions, and to date, Pattern has invested over $142 million in technology development and related acquisitions. These investments are crucial for optimizing the ecommerce equation and strengthening our proprietary data set consisting of more than 46 trillion data points.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investing to accelerate our AI capabilities. AI is particularly well suited for ecommerce, given the global complexity, importance of content and of immense scale of user generated data points. We utilize AI in a number of areas in our business, including SEO, advertising, content generation and inventory management. Additionally, AI can help refine our pricing strategies by dynamically considering market conditions, competitor pricing and consumer demand.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future growth</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have already made substantial investments in our business, we believe that the large and growing global market we are targeting is still in its nascent stages. To capitalize on this potential, we plan to continue investing in our business to drive growth, expand internationally, enhance our operations and boost revenue. Recognizing the significant opportunities for further expansion, we are committed to increasing our investments to enhance our presence on both existing and new global ecommerce marketplaces. We also see immense potential in global marketplaces and are dedicated to building localized teams that can leverage regional insights to accelerate the sales of our brand partners’ products. Additionally, we are channeling resources to grow our direct sales team, enabling us to onboard more high-quality brand partners and diversify our industry category mix over time. Furthermore, as we transition to becoming a public company, we anticipate incurring additional general and administrative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capabilities and capital-efficient processes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key factor influencing our performance is our ability to drive efficient operations and maintain capital-efficient processes. By concentrating on these areas, we aim to develop a scalable operation that supports our global growth objectives while maintaining high levels of customer satisfaction and operational efficiency.</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enhance capital efficiency, we prioritize optimizing our inventory levels and increasing inventory turns, which have improved from 3.9 in 2022 to 4.5 in 2024. Additionally, we seek to strategically avoid capital-intensive operations such as last-mile delivery and trucking, choosing instead to partner with leading third-party providers. We also take advantage of our scale to drive operational cost efficiencies. For example, because we process very high volumes, we batch our shipments, allowing us to ship approximately 92% of our units in the United States in full truck loads, which have a shipping cost that is generally more than 75% below less-than-full truckloads.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 of incremental solutions</w:t>
      </w:r>
    </w:p>
    <w:p>
      <w:pPr>
        <w:spacing w:after="0" w:line="17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We generate a substantial majority of our revenue from consumer product sales on global ecommerce marketplaces. We also continue to invest in new and innovative solutions to diversify our revenue mix. We are committed to enhancing our SaaS capabilities, with a particular focus on our Product Experience Management (“PXM”) and Creators. These solutions enable brands to more easily generate optimized content across all ecommerce channels, while also supporting the expanding social commerce</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 xml:space="preserve"> sector by providing a centralized platform for recruiting, engaging and managing affiliate marketing campaigns. Additionally, we are investing in our fulfillment capabilities to accelerate our shipping processes and offer marketplace preparation services to other third-party sellers. We are also investing in expanding the reach of our middle mile solution, which we estimate saved up to 50% of shipping costs into marketplaces during 2024. Furthermore, we are dedicated to enhancing our Services solutions, which deliver tailored consulting and design solutions to our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263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36"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The practice of selling products and services directly through social media platforms, rather than redirecting users to a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320" w:top="117"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 and Non-GAAP Financial Measure</w:t>
      </w:r>
    </w:p>
    <w:p>
      <w:pPr>
        <w:spacing w:after="0" w:line="1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We measure our business using both financial and operating metrics and use the following metric and measure to assess the near-term and long-term performance of our overall business, including identifying trends, formulating financial projections, making strategic decisions, assessing operational efficiencies and monitoring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NRR is an important metric to measure the long-term value of our brand partner relationships. In any given period, we calculate NRR by comparing total revenue attributable to all existing brand partners in the current trailing 12-month period to that of the previous trailing 12-month period. This metric, expressed as a percentage, provides valuable insight into the accelerated growth delivered through our platform, the effectiveness of our brand expansion strategies and our ability to deepen relationships with existing brand partners. For the purpose of our NRR calculation, we only include brand partners that, as of the measurement date, have been with Pattern for more than twelve months since we first generated over $1,000 in revenue attributable to such brand partner. Additionally, for those existing brand partners that, as of the measurement date, have been with Pattern for more than twelve full months but less than 24 full months since we first generated over $1,000 in revenue attributable to such brand partner, we only include current period revenue for the corresponding months in the current period for which the brand partner had attributable revenue in the previous period. For example, when calculating NRR as of December 31, 2024 for a brand partner that Pattern first generated over $1,000 of attributable revenue in June 2023, we would only include that brand partner’s attributable revenue from June 2024 through December 2024 in the numerator and that brand partner’s attributable revenue from June 2023 through December 2023 in the denominator. Current period revenue includes the impact of any expansion, contraction and attrition. NRR excludes revenue attributable to new brand partners during the current period. All revenue attributable to services relating to consulting and design are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97790</wp:posOffset>
            </wp:positionV>
            <wp:extent cx="3780155" cy="2537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8015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Adjusted EBITDA, a non-GAAP financial measure, is useful in evaluating our operational performance. We calculate Adjusted EBITDA, a non-GAAP financial measure, as net (loss) income excluding depreciation and amortization; share-based compensation expense; interest income (expense), net; income tax provision; and other recurring and nonrecurring items that we do not consider representative of our underlying operations. We believe it is useful to exclude non-cash charges, such as depreciation and amortization and share-based compensation expense from our Adjusted EBITDA because the amount of such expenses in any specific period may not directly correlate to the underlying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00"/>
          </w:cols>
          <w:pgMar w:left="320" w:top="117"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performance of our business operations. We believe it is useful to exclude interest income (expense), net; other (expense), net; income tax provision; and other items that are not components of our core business operations. Non-GAAP financial measures such as Adjusted EBITDA should not be considered in isolation or as an alternative to net (loss) income or any other measure of financial performance calculated and prescribed in accordance with GAAP. In addition, Adjusted EBITDA may not be comparable to similarly titled measures in other organizations because other organizations may not calculate Adjusted EBITDA in the same manner as we do, thus limiting its usefulness as a comparative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93980</wp:posOffset>
            </wp:positionV>
            <wp:extent cx="5349240" cy="2254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non-GAAP Adjusted EBITDA to the most directly comparable financial measure presented in accordance with GAAP.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67,856</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Add (deduct):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Indirect initial public offering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and intangibles impairment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(income) from wind down of subsidiary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Add (deduct):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Indirect initial public offering costs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Consolidated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consumer product sales attributable to brand partners, across a number of categories including health and wellness, beauty and personal care, home and lifestyle, pet, sports and outdoors and consumer electronics, through both domestic and international ecommerce marketplaces. Revenue from the sale of products is recorded when products are shipped to the customer, net of returns allowances. Taxes collected from customers are excluded from revenue.</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also generate revenue through subscription and consulting fees for our comprehensive suite of ecommerce solutions, including advanced advertising and marketing technology, actionable business insights, compliance solutions, logistics and fulfillment support, creative design and strategic growth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75"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Cost of goods sold consists of the purchase price of inventory sold to customers. Shipping costs to receive products from our brand partners and costs to ship products to third-party fulfillment centers are included in our inventory and recognized as cost of goods sold upon sale of the products to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General and Administrative</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Operations, general and administrative expenses consist of third-party fulfillment costs; payroll and related expenses; warehousing costs; facilities and equipment, including depreciation and amortization, rent and other occupancy expenses; professional and legal fees; as well as costs associated with other general costs for corporate functions, including accounting, finance and human resources.</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Fulfillment costs represent those costs incurred from third-party fulfillment centers and in operating and staffing our fulfillment centers, including costs related to buying, receiving, inspecting and warehousing inventories, picking, packaging and preparing customer orders for shipment.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third-party online marketplace commission fees, targeted online advertising and other marketing expenses, payroll and related expenses for personnel engaged in marketing and selling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include payroll and related expenses for employees involved in the research and development of our technology, development and design of our websites and curation and display of products available on third-party marketplaces.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Consolidated Operations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990,535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1,366,417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1,796,161</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3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561,620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765,203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1,014,812</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226,662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276,272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3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187,299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257,513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337,672</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14,644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986,414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1,313,632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1,708,979</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52,785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87,182</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3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41,264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3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11"/>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7"/>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430,629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598,150</w:t>
            </w:r>
          </w:p>
        </w:tc>
        <w:tc>
          <w:tcPr>
            <w:tcW w:w="2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841,301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1,138,556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243,951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341,333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470,886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645,933</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157,544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203,768</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82,214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116,541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157,838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217,220</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407,540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568,021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794,897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1,079,019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0" w:type="dxa"/>
            <w:vAlign w:val="bottom"/>
          </w:tcPr>
          <w:p>
            <w:pPr>
              <w:spacing w:after="0"/>
              <w:rPr>
                <w:sz w:val="1"/>
                <w:szCs w:val="1"/>
                <w:color w:val="auto"/>
              </w:rPr>
            </w:pPr>
          </w:p>
        </w:tc>
      </w:tr>
      <w:tr>
        <w:trPr>
          <w:trHeight w:val="223"/>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62,613</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8,068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23,781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35,457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7"/>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2025</w:t>
            </w: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
                <w:szCs w:val="2"/>
                <w:color w:val="auto"/>
              </w:rPr>
            </w:pPr>
          </w:p>
        </w:tc>
        <w:tc>
          <w:tcPr>
            <w:tcW w:w="12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430,629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598,150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driven by the growth of consumer product sales attributable to existing brand partners, as evidenced by our NRR of 118% for the period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in cost of goods sold was primarily driven by an increase in revenue of 38.9%. The increase in cost of goods sold was larger than the increase in revenue on a percentage basis, primarily driven by product and brand mix.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84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76,858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increase in operations, general and administrative expenses was primarily driven by the increase in consumer product sales and the associated fulfillment costs, which increased by $23.0 million. Depreciation and amortization expense increased by $0.6 million driven by additional investment in warehouse automation and capitalized internal-use software. The remaining increase for the three months ended June 30, 2025 was driven by an increase in corporate headcount and rent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82,214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increase in sales and marketing expenses was primarily driven by an increase in marketplace commissions of $24.0 million, or 39.2%, which grew in line with revenue on a percentage basis. The remaining increase of $10.3 million related to other selling expenses that generally increased in line with revenue on a percentage basis. These costs included additional brand management, sales and marketing, advertising and creative headcount and other sales, marketing and advertising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costs was primarily driven by the headcount increase of software engineers, data scientists and other technology professionals to drive new platform capabilities and enhanced features.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June 30, 2025 was 25.3% of earnings before income taxes compared with an effective tax rate of 25.5% for three months ended June 30, 2024. The increase in provision for income taxes was primarily driven by the increase in income before income taxes of $7.9 million for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1,138,556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297,255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driven by the growth of consumer product sales attributable to existing brand partners, as evidenced by our NRR of 118% for the period ended June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645,933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175,047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in cost of goods sold was primarily driven by an increase in revenue of 35.3%. The increase in cost of goods sold was larger than the increase in revenue on a percentage basis, primarily driven by product and brand mix.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increase in operations, general and administrative expenses was primarily driven by the increase in consumer product sales and the associated fulfillment costs, which increased by $39.8 million. Depreciation and amortization expense increased by $1.2 million driven by additional investment in warehouse automation and capitalized internal-use software. The remaining increase for the six months ended June 30, 2025 was driven by an increase in corporate headcount and rent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increase in sales and marketing expenses was primarily driven by an increase in marketplace commissions of $43.5 million, or 36.5%, which grew at a higher rate than revenue on a percentage basis, primarily due to marketplace mix. The remaining increase of $15.8 million related to other selling expenses that generally increased in line with revenue on a percentage basis. These costs included additional brand management, sales and marketing, advertising and creative headcount and other sales, marketing and advertising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costs was primarily driven by the headcount increase of software engineers, data scientists and other technology professionals to drive new platform capabilities and enhanced features.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effective tax rate for the six months ended June 30, 2025 was 25.6% of earnings before income taxes compared with an effective tax rate of 25.5% for six months ended June 30, 2024. The increase in provision for income taxes was primarily driven by the increase in income before income taxes of $15.0 million for the six months ended June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1,796,161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429,744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driven by the growth of consumer product sales attributable to existing brand partners, as evidenced by our NRR of 116% for 2024, and new brand partner revenue of $232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1,014,812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in cost of goods sold was primarily driven by an increase in revenue of 31.5%. The increase in cost of goods sold was larger than the increase in revenue on a percentage basis, primarily driven by product and brand mix.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increase in operations, general and administrative expenses was primarily driven by the increase in consumer product sales and the associated fulfillment cost, which increased by $55.3 million. Depreciation and amortization expense increased by $2.7 million driven by additional investment in warehouse automation and capitalized internal-use software. The remaining increase in fiscal year 2024 was driven by an increase of corporate headcount and rent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increase in sales and marketing expenses was primarily driven by an increase in marketplace commissions of $63.2 million, or 32.4%, which is consistent with the 31.5% increase in revenue compared to fiscal year 2023. The remaining increase of $17.0 million related to other selling expenses that generally increased in line with revenue on a percentage basis. These costs included additional brand management, sales and marketing, advertising and creative headcount and other sales, marketing and advertising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costs was primarily driven by headcount increase of software engineers, data scientists and other technology professionals to drive new platform capabilities and enhanced features.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38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8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780"/>
        <w:spacing w:after="0" w:line="451" w:lineRule="auto"/>
        <w:rPr>
          <w:sz w:val="20"/>
          <w:szCs w:val="20"/>
          <w:color w:val="auto"/>
        </w:rPr>
      </w:pPr>
      <w:r>
        <w:rPr>
          <w:rFonts w:ascii="Times New Roman" w:cs="Times New Roman" w:eastAsia="Times New Roman" w:hAnsi="Times New Roman"/>
          <w:sz w:val="18"/>
          <w:szCs w:val="18"/>
          <w:color w:val="auto"/>
        </w:rPr>
        <w:t xml:space="preserve">The increase in interest income was driven by the investment of excess cash into interest bearing cash equivalents. The decrease in other income (expense), net was driven primarily by realized losses on foreign currency transactions. </w:t>
      </w:r>
      <w:r>
        <w:rPr>
          <w:rFonts w:ascii="Times New Roman" w:cs="Times New Roman" w:eastAsia="Times New Roman" w:hAnsi="Times New Roman"/>
          <w:sz w:val="18"/>
          <w:szCs w:val="18"/>
          <w:b w:val="1"/>
          <w:bCs w:val="1"/>
          <w:i w:val="1"/>
          <w:iCs w:val="1"/>
          <w:color w:val="auto"/>
        </w:rPr>
        <w:t>Provision for Income Taxes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Our effective tax rate for fiscal year 2024 was 25.6% of earnings before income taxes compared with an effective tax rate of 26.8% for fiscal year 2023. The increase in provision for income taxes was primarily driven by the increase in income before income taxes of $34.9 million in 2024.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 the section titled “Notes to Consolidated Financial Statements” included elsewhere in this prospectus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1,366,417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driven by the growth of consumer product sales attributable to existing brand partners, as evidenced by our NRR of 115% for 2023, and new brand partner revenue of $251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765,203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increase in cost of goods sold was primarily driven by an increase in revenue of 37.9%. The increase in cost of goods sold was smaller than the increase in revenue on a percentage basis, primarily driven by product and brand mix.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increase in operations, general and administrative expenses was primarily driven by the increase in consumer product sales and the associated fulfillment cost, which increased by $45.6 million. Depreciation and amortization expense increased by $2.5 million driven by additional investment in warehouse automation and capitalized internal-use software. The remaining increase in fiscal year 2023 was driven by an increase of corporate headcount.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increase in sales and marketing expenses was primarily driven by an increase of marketplace commissions of $53.7 million, or 38.1%, which is consistent with the 37.9% increase in revenue compared to fiscal year 2022. The remaining increase of $16.5 million related to other selling expenses that generally increased in line with revenue on a percentage basis. These costs included additional brand management, sales and marketing, advertising and creative headcount and other sales, marketing and advertising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costs was primarily driven by headcount increase of software engineers, data scientists and other technology professionals to drive new platform capabilities and enhanced features.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2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8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Borders>
              <w:top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income was driven by the investment of excess cash into interest bearing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expense was driven by the payoff of the remaining term loan in early fiscal year 2022.</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decrease in other income (expense), net was driven primarily by $6.1 million in goodwill and acquired intangibles impairment charges related to the wind down of an acquired subsidiary in fiscal year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36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15,077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Our effective tax rate for fiscal year 2023 was 26.8% of earnings before income taxes compared with an effective tax rate of (75.9%) for fiscal year 2022. The increase in provision for income taxes was primarily driven by the increase in income (loss) before income taxes of $58.0 million and movement from a loss position in 2022 to an income position in 2023. See </w:t>
      </w:r>
      <w:r>
        <w:rPr>
          <w:rFonts w:ascii="Times New Roman" w:cs="Times New Roman" w:eastAsia="Times New Roman" w:hAnsi="Times New Roman"/>
          <w:sz w:val="18"/>
          <w:szCs w:val="18"/>
          <w:i w:val="1"/>
          <w:iCs w:val="1"/>
          <w:color w:val="auto"/>
        </w:rPr>
        <w:t>Note 12—Provision for Income Taxes</w:t>
      </w:r>
      <w:r>
        <w:rPr>
          <w:rFonts w:ascii="Times New Roman" w:cs="Times New Roman" w:eastAsia="Times New Roman" w:hAnsi="Times New Roman"/>
          <w:sz w:val="18"/>
          <w:szCs w:val="18"/>
          <w:color w:val="auto"/>
        </w:rPr>
        <w:t>, in the section titled “Notes to Consolidated Financial Statements” included elsewhere in this prospectus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Quarterly Results of Operations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tables set forth our unaudited quarterly consolidated results of operations for each of the quarterly periods for the years ended December 31, 2023 and 2024 and the three months ended March 31, 2025 and June 30, 2025. These unaudited quarterly results of operations have been prepared on the same basis as our audited consolidated financial statements included elsewhere in this prospectus. In the opinion of management, the financial information reflects all normal recurring adjustments necessary for the fair statement of the results of operations and cash flows for these periods. This information should be read in conjunction with our consolidated financial statements and the related notes included elsewhere in this prospectus. The results of historical periods are not necessarily indicative of the results in any future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22"/>
        </w:trPr>
        <w:tc>
          <w:tcPr>
            <w:tcW w:w="2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8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83"/>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8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00" w:type="dxa"/>
            <w:vAlign w:val="bottom"/>
          </w:tcPr>
          <w:p>
            <w:pPr>
              <w:spacing w:after="0"/>
              <w:rPr>
                <w:sz w:val="15"/>
                <w:szCs w:val="15"/>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2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296,601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333,223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342,557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394,036</w:t>
            </w:r>
          </w:p>
        </w:tc>
        <w:tc>
          <w:tcPr>
            <w:tcW w:w="80" w:type="dxa"/>
            <w:vAlign w:val="bottom"/>
          </w:tcPr>
          <w:p>
            <w:pPr>
              <w:spacing w:after="0"/>
              <w:rPr>
                <w:sz w:val="14"/>
                <w:szCs w:val="14"/>
                <w:color w:val="auto"/>
              </w:rPr>
            </w:pPr>
          </w:p>
        </w:tc>
        <w:tc>
          <w:tcPr>
            <w:tcW w:w="4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410,672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430,629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439,395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515,465</w:t>
            </w: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220,217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294,967</w:t>
            </w: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Operations, general and administrative</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80,456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94,840</w:t>
            </w: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73,600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97,247</w:t>
            </w: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3,937</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5,287</w:t>
            </w:r>
          </w:p>
        </w:tc>
      </w:tr>
      <w:tr>
        <w:trPr>
          <w:trHeight w:val="163"/>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287,256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321,348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326,818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378,210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387,357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407,540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421,741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492,341</w:t>
            </w:r>
          </w:p>
        </w:tc>
      </w:tr>
      <w:tr>
        <w:trPr>
          <w:trHeight w:val="17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23,124</w:t>
            </w: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w:t>
            </w: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r>
      <w:tr>
        <w:trPr>
          <w:trHeight w:val="163"/>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24,252</w:t>
            </w: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w:t>
            </w:r>
          </w:p>
        </w:tc>
      </w:tr>
      <w:tr>
        <w:trPr>
          <w:trHeight w:val="142"/>
        </w:trPr>
        <w:tc>
          <w:tcPr>
            <w:tcW w:w="29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6,079</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9,427</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12,245</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13,513</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17,657</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17,800</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14,196</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18,203</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Non-GAAP Financial Measure</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4"/>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6"/>
                <w:szCs w:val="16"/>
                <w:color w:val="auto"/>
                <w:vertAlign w:val="superscript"/>
              </w:rPr>
              <w:t>(1)</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15,355</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19,323</w:t>
            </w:r>
          </w:p>
        </w:tc>
        <w:tc>
          <w:tcPr>
            <w:tcW w:w="80" w:type="dxa"/>
            <w:vAlign w:val="bottom"/>
          </w:tcPr>
          <w:p>
            <w:pPr>
              <w:spacing w:after="0"/>
              <w:rPr>
                <w:sz w:val="18"/>
                <w:szCs w:val="18"/>
                <w:color w:val="auto"/>
              </w:rPr>
            </w:pPr>
          </w:p>
        </w:tc>
        <w:tc>
          <w:tcPr>
            <w:tcW w:w="4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Quarter ended</w:t>
            </w:r>
          </w:p>
        </w:tc>
      </w:tr>
      <w:tr>
        <w:trPr>
          <w:trHeight w:val="171"/>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June 30, 2025</w:t>
            </w:r>
          </w:p>
        </w:tc>
      </w:tr>
      <w:tr>
        <w:trPr>
          <w:trHeight w:val="160"/>
        </w:trPr>
        <w:tc>
          <w:tcPr>
            <w:tcW w:w="9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70"/>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540,406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598,150</w:t>
            </w:r>
          </w:p>
        </w:tc>
      </w:tr>
      <w:tr>
        <w:trPr>
          <w:trHeight w:val="181"/>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341,333</w:t>
            </w:r>
          </w:p>
        </w:tc>
      </w:tr>
      <w:tr>
        <w:trPr>
          <w:trHeight w:val="181"/>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Operations, general and administrative</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103,692</w:t>
            </w:r>
          </w:p>
        </w:tc>
      </w:tr>
      <w:tr>
        <w:trPr>
          <w:trHeight w:val="170"/>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116,541</w:t>
            </w:r>
          </w:p>
        </w:tc>
      </w:tr>
      <w:tr>
        <w:trPr>
          <w:trHeight w:val="181"/>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6,455</w:t>
            </w:r>
          </w:p>
        </w:tc>
      </w:tr>
      <w:tr>
        <w:trPr>
          <w:trHeight w:val="163"/>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510,998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568,021</w:t>
            </w:r>
          </w:p>
        </w:tc>
      </w:tr>
      <w:tr>
        <w:trPr>
          <w:trHeight w:val="17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30,129</w:t>
            </w:r>
          </w:p>
        </w:tc>
      </w:tr>
      <w:tr>
        <w:trPr>
          <w:trHeight w:val="170"/>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w:t>
            </w:r>
          </w:p>
        </w:tc>
      </w:tr>
      <w:tr>
        <w:trPr>
          <w:trHeight w:val="181"/>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3"/>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31,849</w:t>
            </w:r>
          </w:p>
        </w:tc>
      </w:tr>
      <w:tr>
        <w:trPr>
          <w:trHeight w:val="181"/>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8,068</w:t>
            </w:r>
          </w:p>
        </w:tc>
      </w:tr>
      <w:tr>
        <w:trPr>
          <w:trHeight w:val="142"/>
        </w:trPr>
        <w:tc>
          <w:tcPr>
            <w:tcW w:w="92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22,802</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23,781</w:t>
            </w:r>
          </w:p>
        </w:tc>
      </w:tr>
      <w:tr>
        <w:trPr>
          <w:trHeight w:val="20"/>
        </w:trPr>
        <w:tc>
          <w:tcPr>
            <w:tcW w:w="9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3"/>
        </w:trPr>
        <w:tc>
          <w:tcPr>
            <w:tcW w:w="92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Non-GAAP Financial Measure</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14"/>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6"/>
                <w:szCs w:val="16"/>
                <w:color w:val="auto"/>
                <w:vertAlign w:val="superscript"/>
              </w:rPr>
              <w:t>(1)</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33,896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35,039</w:t>
            </w:r>
          </w:p>
        </w:tc>
      </w:tr>
    </w:tbl>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See reconciliation of GAAP measures to the non-GAAP measure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28"/>
        </w:trPr>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1"/>
                <w:szCs w:val="11"/>
                <w:color w:val="auto"/>
              </w:rPr>
            </w:pPr>
          </w:p>
        </w:tc>
        <w:tc>
          <w:tcPr>
            <w:tcW w:w="860" w:type="dxa"/>
            <w:vAlign w:val="bottom"/>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8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00" w:type="dxa"/>
            <w:vAlign w:val="bottom"/>
          </w:tcPr>
          <w:p>
            <w:pPr>
              <w:spacing w:after="0"/>
              <w:rPr>
                <w:sz w:val="15"/>
                <w:szCs w:val="15"/>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Net Income to Adjusted EBITDA</w:t>
            </w:r>
          </w:p>
        </w:tc>
        <w:tc>
          <w:tcPr>
            <w:tcW w:w="3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13,513</w:t>
            </w:r>
          </w:p>
        </w:tc>
        <w:tc>
          <w:tcPr>
            <w:tcW w:w="80" w:type="dxa"/>
            <w:vAlign w:val="bottom"/>
          </w:tcPr>
          <w:p>
            <w:pPr>
              <w:spacing w:after="0"/>
              <w:rPr>
                <w:sz w:val="14"/>
                <w:szCs w:val="14"/>
                <w:color w:val="auto"/>
              </w:rPr>
            </w:pPr>
          </w:p>
        </w:tc>
        <w:tc>
          <w:tcPr>
            <w:tcW w:w="46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18,203</w:t>
            </w: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w:t>
            </w: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w:t>
            </w: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w:t>
            </w: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Indirect initial public offering costs</w:t>
            </w:r>
          </w:p>
        </w:tc>
        <w:tc>
          <w:tcPr>
            <w:tcW w:w="3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wind down of subsidiary</w:t>
            </w:r>
          </w:p>
        </w:tc>
        <w:tc>
          <w:tcPr>
            <w:tcW w:w="3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Quarter ended</w:t>
            </w:r>
          </w:p>
        </w:tc>
      </w:tr>
      <w:tr>
        <w:trPr>
          <w:trHeight w:val="171"/>
        </w:trPr>
        <w:tc>
          <w:tcPr>
            <w:tcW w:w="9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8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June 30, 2025</w:t>
            </w:r>
          </w:p>
        </w:tc>
      </w:tr>
      <w:tr>
        <w:trPr>
          <w:trHeight w:val="160"/>
        </w:trPr>
        <w:tc>
          <w:tcPr>
            <w:tcW w:w="9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Net Income to Adjusted EBITDA</w:t>
            </w:r>
          </w:p>
        </w:tc>
        <w:tc>
          <w:tcPr>
            <w:tcW w:w="3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7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23,781</w:t>
            </w:r>
          </w:p>
        </w:tc>
      </w:tr>
      <w:tr>
        <w:trPr>
          <w:trHeight w:val="18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4,240</w:t>
            </w:r>
          </w:p>
        </w:tc>
      </w:tr>
      <w:tr>
        <w:trPr>
          <w:trHeight w:val="18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3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4"/>
              </w:rPr>
              <w:t>(1,517)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w:t>
            </w:r>
          </w:p>
        </w:tc>
      </w:tr>
      <w:tr>
        <w:trPr>
          <w:trHeight w:val="18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8,068</w:t>
            </w:r>
          </w:p>
        </w:tc>
      </w:tr>
      <w:tr>
        <w:trPr>
          <w:trHeight w:val="17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Indirect initial public offering costs</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r>
      <w:tr>
        <w:trPr>
          <w:trHeight w:val="17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from wind down of subsidiary</w:t>
            </w:r>
          </w:p>
        </w:tc>
        <w:tc>
          <w:tcPr>
            <w:tcW w:w="3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9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Quarterly revenue increased quarter-over-quarter in each period presented above primarily due to increased consumer product sales attributable to both existing and new brand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Operating Expenses Trends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Quarterly operating expenses have generally increased quarter-over-quarter in each period presented above primarily due to an increase in sales commissions and fulfillment costs related to increased consumer product sales. Additionally, we also invested in additional headcount to support the overall growth of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At June 30, 2025, we had cash and cash equivalents of $215.3 million. We also have access to external sources of liquidity through our revolving credit facility as further described within “Credit Facility” below.</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cash from operations and availability under our revolving credit facility will be sufficient to fund our working capital, capital expenditure requirements and contractual obligations for at least the next twelve months. Our opinions concerning liquidity are based on currently available information. To the extent our liquidity assumptions prove to be inaccurate, or if circumstances change, future availability of credit or other sources of financing may be reduced and our liquidity could be adversely affected. In addition, we may choose to raise additional funds at any time through equity or debt financing arrangements, which may or may not be needed for additional working capital, capital expenditures or other strategic investments. Our future capital requirements and the adequacy of available funds will depend on many factors, including those described in the section titled “Risk Factors” included elsewhere in this prospectus. Depending on the severity and direct impact of these factors on us, we may be unable to secure additional financing to meet our operating requirements on terms favorable to us,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 information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6"/>
              </w:rPr>
              <w:t>14,231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50,445</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(30,520)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(36,620)</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$50.4 million for the six months ended June 30, 2025, which primarily consisted of $46.6 million of net income, $9.7 million of non-cash adjustments, such as depreciation and amortization expense, and a cash decrease of $5.8 million from the management of working capital.</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$43.5 million for the six months ended June 30, 2024, which primarily consisted of $35.5 million of net income, $7.0 million of non-cash adjustments, such as depreciation and amortization expense, and a cash increase of $1.0 million from the management of working capital.</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$70.3 million for the year ended December 31, 2024, which primarily consisted of $67.9 million of net income, $13.6 million of non-cash adjustments, such as depreciation and amortization expense, and a cash decrease of $11.1 million from the management of working capital.</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$41.5 million for the year ended December 31, 2023, which primarily consisted of $41.3 million of net income, $10.6 million of non-cash adjustments, such as depreciation and amortization expense, and a cash decrease of $10.4 million from the management of working capital.</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$14.2 million for the year ended December 31, 2022, which primarily consisted of ($3.0) million net loss, $10.5 million of non-cash adjustments, such as depreciation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780"/>
        <w:spacing w:after="0" w:line="438" w:lineRule="auto"/>
        <w:rPr>
          <w:sz w:val="20"/>
          <w:szCs w:val="20"/>
          <w:color w:val="auto"/>
        </w:rPr>
      </w:pPr>
      <w:r>
        <w:rPr>
          <w:rFonts w:ascii="Times New Roman" w:cs="Times New Roman" w:eastAsia="Times New Roman" w:hAnsi="Times New Roman"/>
          <w:sz w:val="18"/>
          <w:szCs w:val="18"/>
          <w:color w:val="auto"/>
        </w:rPr>
        <w:t xml:space="preserve">amortization expense, impairment and deferred taxes, and a cash increase of $6.7 million from the management of working capital. </w:t>
      </w:r>
      <w:r>
        <w:rPr>
          <w:rFonts w:ascii="Times New Roman" w:cs="Times New Roman" w:eastAsia="Times New Roman" w:hAnsi="Times New Roman"/>
          <w:sz w:val="18"/>
          <w:szCs w:val="18"/>
          <w:b w:val="1"/>
          <w:bCs w:val="1"/>
          <w:i w:val="1"/>
          <w:iCs w:val="1"/>
          <w:color w:val="auto"/>
        </w:rPr>
        <w:t>Investing Activities</w:t>
      </w:r>
    </w:p>
    <w:p>
      <w:pPr>
        <w:spacing w:after="0" w:line="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was $10.6 million for the six months ended June 30, 2025, primarily related to capital expenditures for our internally developed software and investments in machinery and leasehold improvements related to our North Las Vegas warehouse and other warehouse automation.</w:t>
      </w:r>
    </w:p>
    <w:p>
      <w:pPr>
        <w:spacing w:after="0" w:line="8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was $8.9 million for the six months ended June 30, 2024, primarily related to capital expenditures for our internally developed software and investments in machinery and leasehold improvements related to our North Las Vegas warehouse and other warehouse automation.</w:t>
      </w:r>
    </w:p>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$20.4 million for the year ended December 31,2024, primarily consisting of capital expenditures related to $9.1 million invested in our internally developed software and $7.2 million in machinery and leasehold improvements largely related to the addition of our North Las Vegas warehouse and other warehouse automation.</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$14.5 million for the year ended December 31, 2023, primarily consisting of capital expenditures related to $8.5 million invested in our internally developed software and $3.3 million in machinery and leasehold improvements to facilitate warehouse automation.</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$30.5 million for the year ended December 31, 2022, primarily consisting of capital expenditures of $7.9 million invested in our internally developed software and $4.0 million related to a land purchase in Lehi, Utah. An additional $14.3 million was used in the acquisition of Current Technologies, LLC (“Current Technologies”). Current Technologies provides software and online social media campaign services. The acquisition of Current Technologies was intended to expand our ability to promote products online through expanded social media ambassadors and influencers.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$0 for the six months ended June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$0 for the six months ended June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$2.9 million for the year ended December 31, 2024 related to the repurchase of 182,008 shares of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$0 for the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$36.6 million for the year ended December 31, 2022, driven by the repayment of long-term 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2025, we were party to a revolving credit facility with JPMorgan Chase Bank, N.A. pursuant to the Third Amended and Restated Credit Agreement dated July 16, 2019, as amended, which provided for borrowings of up to $50 million. That facility was scheduled to mature in March 2027 (the “Prior Credit Facility”). As of June 30, 2025, we had no outstanding borrowings under the Prior Credit Facility and we had a $50 million borrowing capacity under the Prior Credit Facility. As of June 30, 2025, we were in compliance with the related financial covenants under the Prior Credit Facility. For additional information, see </w:t>
      </w:r>
      <w:r>
        <w:rPr>
          <w:rFonts w:ascii="Times New Roman" w:cs="Times New Roman" w:eastAsia="Times New Roman" w:hAnsi="Times New Roman"/>
          <w:sz w:val="18"/>
          <w:szCs w:val="18"/>
          <w:i w:val="1"/>
          <w:iCs w:val="1"/>
          <w:color w:val="auto"/>
        </w:rPr>
        <w:t>Note 7—Credit Facilities</w:t>
      </w:r>
      <w:r>
        <w:rPr>
          <w:rFonts w:ascii="Times New Roman" w:cs="Times New Roman" w:eastAsia="Times New Roman" w:hAnsi="Times New Roman"/>
          <w:sz w:val="18"/>
          <w:szCs w:val="18"/>
          <w:color w:val="auto"/>
        </w:rPr>
        <w:t>, in the section titled “Notes to Consolidated Financial Statements” included elsewhere in this prospectus.</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4, 2025, we entered into a Credit Agreement (the “Credit Facility”) with JPMorgan Chase Bank, N.A. and other lenders, which supersedes the prior agreement. The Credit Facility provides for non-amortizing revolving loans in the aggregate principal amount of up to $50 million, with the option to increase the aggregate principal amount up to $150 million upon our initial public offering subject to certain conditions, and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 option to increase the aggregate principal amount up to $250 million under certain conditions subject to lender approval. The Credit Facility matures in September 2030. The revolving line of credit bears interest at a variable base rate plus an applicable margin ranging from 0.50% to 2.00%. We are required to pay commitment fees on the unused portion that range from 0.20% to 0.25% per annum. Our obligations under the Credit Facility are guaranteed by certain of our subsidiaries and are secured by a first priority lien on substantially all of our tangible and intangible property.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maintain compliance as of the end of each calendar quarter with the following financial covenants:</w:t>
      </w:r>
    </w:p>
    <w:p>
      <w:pPr>
        <w:spacing w:after="0" w:line="171"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fixed charge coverage ratio on a trailing 12-month basis of no less than 1.25 to 1.00;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net leverage ratio on a trailing 12-month basis not greater than 4.00 to 1.00.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contractual obligations and other commitments that will need to be funded in the future, in addition to our working capital, capital expenditures and other strategic initiatives. Material contractual obligations relate to operating lease obligations.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Operating lease obligations relate to corporate offices and warehouses under non-cancelable operating leases, which expire at various dates through 2029. As of December 31, 2024, operating lease obligations included minimum lease payments of $35.6 million. For additional information related to real estate and operating leases, see </w:t>
      </w:r>
      <w:r>
        <w:rPr>
          <w:rFonts w:ascii="Times New Roman" w:cs="Times New Roman" w:eastAsia="Times New Roman" w:hAnsi="Times New Roman"/>
          <w:sz w:val="18"/>
          <w:szCs w:val="18"/>
          <w:i w:val="1"/>
          <w:iCs w:val="1"/>
          <w:color w:val="auto"/>
        </w:rPr>
        <w:t>Note 6— Operating Leases</w:t>
      </w:r>
      <w:r>
        <w:rPr>
          <w:rFonts w:ascii="Times New Roman" w:cs="Times New Roman" w:eastAsia="Times New Roman" w:hAnsi="Times New Roman"/>
          <w:sz w:val="18"/>
          <w:szCs w:val="18"/>
          <w:color w:val="auto"/>
        </w:rPr>
        <w:t>, in the section titled “Notes to Consolidated Financial Statements” included elsewhere in this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discussion and analysis of our financial condition and results of operations are based upon our consolidated financial statements, which have been prepared in accordance with U.S. GAAP. The preparation of our consolidated financial statements and related disclosures requires us to make estimates, assumptions and judgments that affect the reported amounts of assets, liabilities, revenue, costs and expenses and related disclosures. We believe that the estimates, assumptions and judgments involved in the accounting policies described below involve a significant level of estimation uncertainty and have the greatest potential impact on our financial condition and results of operations and, therefore, we consider these to be our critical accounting policies. Accordingly, we evaluate our estimates, assumptions and judgments on an ongoing basis. Our actual results may differ from these estimates under different assumptions, judgments and conditions. See </w:t>
      </w:r>
      <w:r>
        <w:rPr>
          <w:rFonts w:ascii="Times New Roman" w:cs="Times New Roman" w:eastAsia="Times New Roman" w:hAnsi="Times New Roman"/>
          <w:sz w:val="18"/>
          <w:szCs w:val="18"/>
          <w:i w:val="1"/>
          <w:iCs w:val="1"/>
          <w:color w:val="auto"/>
        </w:rPr>
        <w:t>Note 2—Summary of Significant Accounting Policies</w:t>
      </w:r>
      <w:r>
        <w:rPr>
          <w:rFonts w:ascii="Times New Roman" w:cs="Times New Roman" w:eastAsia="Times New Roman" w:hAnsi="Times New Roman"/>
          <w:sz w:val="18"/>
          <w:szCs w:val="18"/>
          <w:color w:val="auto"/>
        </w:rPr>
        <w:t>, in the section titled “Notes to Consolidated Financial Statements” included elsewhere in this prospectus for a description of our significant accounting policies.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recognize revenue on a gross basis for consumer product sales generated through domestic and international ecommerce marketplaces. Determining whether to recognize revenue on a gross or net basis requires judgment in evaluating whether we are the principal or agent in contracts with both our customers and brand partners. We have concluded that in the vast majority of our contracts, we are the principal in the transaction and control the product before it is transferred to the customer. We control products when we are responsible for fulfilling the promise to the customer and take responsibility for the acceptability of the goods, assume inventory risk and have discretion in establishing prices on ecommerce marketplaces. We recognize revenue when control of the product passes to the customer, typically at the time of shipment. Revenues are presented net of customer returns.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inventories represent finished good products that are available for sale. Inventory is accounted for using the average cost method and is stated at the lower of cost or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00"/>
          </w:cols>
          <w:pgMar w:left="320" w:top="117"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periodically evaluate the composition of our inventory and recognize adjustments when the cost of inventory is not expected to be fully recoverable. The market value of inventory is estimated by considering current and anticipated demand based on historical sales, buying trends and the method of disposal for aged inventory, such as through sales to individual customers, returns to brand partners, liquidations and expected recoverable values of each disposition category.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record compensation expense in connection with all stock-based awards based on the grant date fair value of the awards. Our stock-based awards generally have both a service-based and performance-based vesting condition. We have elected to account for forfeitures of awards as they occur. No stock-based compensation expense has been recognized related to our equity plan as the performance condition was determined as not probable of being met. See </w:t>
      </w:r>
      <w:r>
        <w:rPr>
          <w:rFonts w:ascii="Times New Roman" w:cs="Times New Roman" w:eastAsia="Times New Roman" w:hAnsi="Times New Roman"/>
          <w:sz w:val="18"/>
          <w:szCs w:val="18"/>
          <w:i w:val="1"/>
          <w:iCs w:val="1"/>
          <w:color w:val="auto"/>
        </w:rPr>
        <w:t>Note 11—Stock-Based Compensation</w:t>
      </w:r>
      <w:r>
        <w:rPr>
          <w:rFonts w:ascii="Times New Roman" w:cs="Times New Roman" w:eastAsia="Times New Roman" w:hAnsi="Times New Roman"/>
          <w:sz w:val="18"/>
          <w:szCs w:val="18"/>
          <w:color w:val="auto"/>
        </w:rPr>
        <w:t>, in the section titled “Notes to Consolidated Financial Statements” included elsewhere in this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Estimates of deferred income taxes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or other government entities, as well as actual operating results that may vary significantly from anticipated results. For additional information on deferred tax assets and liabilities,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 the section titled “Notes to Consolidated Financial Statements” included elsewhere in this prospectus.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960"/>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recent accounting pronouncements is included in </w:t>
      </w:r>
      <w:r>
        <w:rPr>
          <w:rFonts w:ascii="Times New Roman" w:cs="Times New Roman" w:eastAsia="Times New Roman" w:hAnsi="Times New Roman"/>
          <w:sz w:val="18"/>
          <w:szCs w:val="18"/>
          <w:i w:val="1"/>
          <w:iCs w:val="1"/>
          <w:color w:val="auto"/>
        </w:rPr>
        <w:t>Note 2—Summary of Significant Accounting Policies</w:t>
      </w:r>
      <w:r>
        <w:rPr>
          <w:rFonts w:ascii="Times New Roman" w:cs="Times New Roman" w:eastAsia="Times New Roman" w:hAnsi="Times New Roman"/>
          <w:sz w:val="18"/>
          <w:szCs w:val="18"/>
          <w:color w:val="auto"/>
        </w:rPr>
        <w:t>, in the “Notes to Consolidated Financial Statements” included elsewhere in this 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risks in the ordinary course of our business, including the effects of foreign currency fluctuations, interest rate changes and inflation. Information relating to quantitative and qualitative disclosures about these market risks is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7"/>
          <w:szCs w:val="17"/>
          <w:color w:val="auto"/>
        </w:rPr>
        <w:t>A significant majority of our sales are denominated in the prevailing currencies of the countries in which we operate. Additionally, our operating expenses are largely denominated in the currencies of the countries in which our operations are located or in which revenue is generated. Therefore, our operations are not currently subject to significant foreign currency risk on a regional basis. However, as our international business has grown, fluctuations in foreign currency exchange rates have started to have a greater impact, and as a result we face exposure to adverse movements in foreign currency exchange rates, as the financial results of our international operations are translated from local currency, or functional currency, into U.S. dollars upon consolidation.</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Fluctuations in foreign currency exchange rates may cause us to recognize transaction gains and losses in our consolidated statements of operations. To date, foreign currency transaction gains and losses have not been material to our financial statements, and we have not engaged in any foreign currency hedging transactions, but we may do so in the future. The effect of foreign currency exchange on our business historically has varied from quarter to quarter and may continue to do so, potentially materially. In addition, global economic conditions may result in changes in exchange rates, and in particular a weakening of foreign currencies relative to the U.S. dollar may negatively affect our revenue as expressed in U.S. dollars.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cash equivalents consist primarily of money market accounts and have an original maturity date of 90 days or less. The fair value of our cash and cash equivalents would not be significantly affected by either an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20"/>
          </w:cols>
          <w:pgMar w:left="320" w:top="11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decrease in interest rates due mainly to the short-term nature of these instruments. Any future borrowings incurred under our revolving credit facility will accrue interest at a floating rate based on a formula tied to certain market rates at the time of incurrence. A 10% increase or decrease in interest rates would not have a material effect on our interest income or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monitor the impact of inflation in order to minimize its effects through pricing strategies, productivity improvements and cost reductions. If our costs were to be subject to more significant inflationary pressures, we are generally able to offset such higher costs through price increases or other cost efficiency measures.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00"/>
          </w:cols>
          <w:pgMar w:left="320" w:top="11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Pattern, we are on a mission to help brands accelerate profitable growth on global ecommerce marketplaces. Today, our proprietary technology and on-demand experts operate across more than 60 marketplaces to increase product sales to consumers in more than 100 countries. Utilizing more than 46 trillion data points and sophisticated machine learning and AI models, we strive to optimize and automate key levers of ecommerce growth, including advertising, content creation and management, pricing, forecasting and customer service. The result is a powerful platform that allows brands to navigate the complexity of operating on global ecommerce marketplaces at scale.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Ecommerce Opportunity is Massive</w:t>
      </w:r>
    </w:p>
    <w:p>
      <w:pPr>
        <w:spacing w:after="0" w:line="17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8"/>
          <w:szCs w:val="18"/>
          <w:color w:val="auto"/>
        </w:rPr>
        <w:t>The approximately $4 trillion global ecommerce market is forecasted to grow at a CAGR of 9.5% from 2024 to 2029, representing more than $490 billion of annual growth.</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Consumers are increasingly shopping online and, as a result, U.S. ecommerce sales are expected to grow more than five times as fast as all other U.S. non-ecommerce sales over this span.</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Not only is global ecommerce expanding, it is also becoming a larger share of retail, increasing from 10% of retail sales in 2016 to a projected 27% by 2029, with each 1% shift from brick-and-mortar to ecommerce representing over $140 billion in retail value.</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Within global ecommerce, marketplaces commanded 58% of total revenue in 2024</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and, in the United States, grew over 1.5 times as fast as D2C channels in 2024.</w:t>
      </w:r>
      <w:r>
        <w:rPr>
          <w:rFonts w:ascii="Times New Roman" w:cs="Times New Roman" w:eastAsia="Times New Roman" w:hAnsi="Times New Roman"/>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60960</wp:posOffset>
            </wp:positionV>
            <wp:extent cx="5349240" cy="2228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 is Simple for Consumers but Complex for Brands</w:t>
      </w:r>
    </w:p>
    <w:p>
      <w:pPr>
        <w:spacing w:after="0" w:line="175"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For consumers, it is increasingly easy to shop online and have products show up at their doors within days or even hours. For brands, the shift to ecommerce has created new opportunities to grow. However, in making shopping easier for consumers, much of the complexity has shifted to brands. Brick-and-mortar retailers offer finite shelf space, relatively stable pricing and more straightforward advertising and fulfillment processes. Conversely, ecommerce marketplaces leverage algorithms for product discovery and real-time pricing, offer unconstrained shelf space that dynamically updates and necessitates always-on advertising to drive product visibility. The stakes are heightened by the “winner-takes-most” nature of the ecommerce marketplace ecosystem where products on the first page get at least 80% of clicks, while the top three listings on the first page get at least 60% of clicks.</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xml:space="preserve"> Moreover, marketplaces present complex and expensive warehousing, packaging and shipping challenges for brands to meet consumer expectations of same day or next-day delivery. Most brands lack the resources, scale and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263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21"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pacing w:after="0" w:line="3" w:lineRule="exact"/>
        <w:rPr>
          <w:rFonts w:ascii="Times New Roman" w:cs="Times New Roman" w:eastAsia="Times New Roman" w:hAnsi="Times New Roman"/>
          <w:sz w:val="19"/>
          <w:szCs w:val="19"/>
          <w:color w:val="auto"/>
          <w:vertAlign w:val="superscript"/>
        </w:rPr>
      </w:pPr>
    </w:p>
    <w:p>
      <w:pPr>
        <w:ind w:left="380" w:hanging="372"/>
        <w:spacing w:after="0" w:line="187" w:lineRule="auto"/>
        <w:tabs>
          <w:tab w:leader="none" w:pos="380"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i w:val="1"/>
          <w:iCs w:val="1"/>
          <w:color w:val="auto"/>
        </w:rPr>
        <w:t>Factset, Ecommerce Intelligence (ID # FI3435US) (Accessed on July 28, 2025).</w:t>
      </w:r>
    </w:p>
    <w:p>
      <w:pPr>
        <w:ind w:left="380" w:hanging="372"/>
        <w:spacing w:after="0"/>
        <w:tabs>
          <w:tab w:leader="none" w:pos="380" w:val="left"/>
        </w:tabs>
        <w:numPr>
          <w:ilvl w:val="0"/>
          <w:numId w:val="6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JungleScout, Amazon Product Ranking: How to Rank Page One on Amazon – May 2024, https://www.junglescout.com/resources/articles/amazon-product-ranking/.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760"/>
        <w:spacing w:after="0" w:line="438" w:lineRule="auto"/>
        <w:rPr>
          <w:sz w:val="20"/>
          <w:szCs w:val="20"/>
          <w:color w:val="auto"/>
        </w:rPr>
      </w:pPr>
      <w:r>
        <w:rPr>
          <w:rFonts w:ascii="Times New Roman" w:cs="Times New Roman" w:eastAsia="Times New Roman" w:hAnsi="Times New Roman"/>
          <w:sz w:val="18"/>
          <w:szCs w:val="18"/>
          <w:color w:val="auto"/>
        </w:rPr>
        <w:t xml:space="preserve">needed to grow their ecommerce business profitably on their own. As a result, they stand to benefit from a comprehensive solution. </w:t>
      </w:r>
      <w:r>
        <w:rPr>
          <w:rFonts w:ascii="Times New Roman" w:cs="Times New Roman" w:eastAsia="Times New Roman" w:hAnsi="Times New Roman"/>
          <w:sz w:val="18"/>
          <w:szCs w:val="18"/>
          <w:b w:val="1"/>
          <w:bCs w:val="1"/>
          <w:i w:val="1"/>
          <w:iCs w:val="1"/>
          <w:color w:val="auto"/>
        </w:rPr>
        <w:t>Pattern is the Solution</w:t>
      </w:r>
    </w:p>
    <w:p>
      <w:pPr>
        <w:spacing w:after="0" w:line="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spent more than a decade obsessing over how to make managing ecommerce easier for consumer brands so that they can focus on what they do best: creating products that customers want to buy. Pattern’s platform sits as a thin layer between brands, marketplaces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5114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pacing w:after="0" w:line="163" w:lineRule="exact"/>
        <w:rPr>
          <w:sz w:val="20"/>
          <w:szCs w:val="20"/>
          <w:color w:val="auto"/>
        </w:rPr>
      </w:pPr>
    </w:p>
    <w:p>
      <w:pPr>
        <w:ind w:left="340" w:right="440"/>
        <w:spacing w:after="0" w:line="305" w:lineRule="auto"/>
        <w:rPr>
          <w:sz w:val="20"/>
          <w:szCs w:val="20"/>
          <w:color w:val="auto"/>
        </w:rPr>
      </w:pPr>
      <w:r>
        <w:rPr>
          <w:rFonts w:ascii="Times New Roman" w:cs="Times New Roman" w:eastAsia="Times New Roman" w:hAnsi="Times New Roman"/>
          <w:sz w:val="14"/>
          <w:szCs w:val="14"/>
          <w:i w:val="1"/>
          <w:iCs w:val="1"/>
          <w:color w:val="auto"/>
        </w:rPr>
        <w:t>The diagram above shows Pattern’s position in the ecommerce landscape. Pattern is a third-party seller and works with brands to sell their products on global marketplaces to reach consumers worldwide. The flags of nations represented under “Global Consumers” represent the global marketplace of consumers generally.</w:t>
      </w:r>
    </w:p>
    <w:p>
      <w:pPr>
        <w:spacing w:after="0" w:line="1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patented technology and on-demand experts function as the “easy button” for brands as they navigate the complex ecosystem of marketplaces, regions, languages, regulatory environments, technology point-solutions and agencies. We believe that, over time, brands will have an increasingly difficult time managing all of this on their own, and Pattern will become an even more compelling solution to the complexities of scaling and accelerating within global ecommerce.</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marketplaces on which we operate benefit from both the more positive consumer experience we offer, as well as the accelerated consumer sales growth that our platform enables. Given our reputation for positive consumer experience and breadth of product selection, we receive inbound requests from marketplaces interested in working with Pattern as they expand their third-party offerings.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one of the best ways to monetize our technology and expertise is by purchasing products from our brand partners and selling those products to consumers on global marketplaces. We generate the substantial majority of our revenue from consumer product sales on global ecommerce marketplaces. This model results in a more seamless, low-friction relationship that is familiar to our brand partners and allows Pattern maximum control over the customer experience, including content, pricing, logistics and customer service. In our experience, this business model aligns Pattern’s and our brand partners’ incentives toward maximizing growth. Importantly, transacting directly with consumers also allows us to accumulate comprehensive marketplace data, perform real-time testing and build more powerful predictive models. As a result of the advantages of our platform and business model, our revenue growth outpaced the growth of the ecommerce segment by a multiple of 5.9x over the last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320" w:top="117"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Do What We Do</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pioneer of ecommerce acceleration, Pattern defines what it means to be an ecommerce accelerator: a platform that combines proprietary technology and on-demand expertise. Given the complexities that consumer brands face in scaling and accelerating global ecommerce, we have organized our platform around a simple and intuitive formula, which we call the ecommerce equation: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925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built a powerful EXP which is powered by AI and machine learning to execute thousands of optimizations daily and drive this equation across tens of thousands of products on marketplaces around the world. These optimizations include automated adjustments and recommendations powered by a massive flow of ecommerce data. We have gathered more than 46 trillion data points to date comprised of keyword, shipping, advertising, sales, market share, click, social, conversion, customer service and other data, a figure which grows by more than 100 billion data points each week on average.</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Today, our software, with a combined total of 29 issued patents and patents pending, is supported by approximately 400 software engineers, data scientists and other technology professionals who are dedicated to enhancing and innovating upon our technology to further increase our capabilities. We believe our data and technology provide a competitive advantage and will continue to differentiate our platform from alternative solutions.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ecommerce complexity cannot currently be solved without the right combination of sophisticated technology and on-demand expertise, and that it is unlikely to be solved in the near future by technology alone. We have a team that offers differentiated, comprehensive, on-demand expertise and capabilities across marketplace management, marketing, fulfillment and brand protection on a global basis. Our brand partners trust our industry experts with everything from day-to-day ad campaign management and creative execution to strategic decisions, such as what product categories have the most potential or which global markets to enter. Our operational experts also help brand partners access our worldwide fulfillment network, utilizing our proprietary WMS to deliver efficient and scalable volume to marketplaces and, in some cases, directly to consumers across the globe. Leveraging our technology, our in-house industry experts deliver data-driven outcomes efficiently across all aspects of the ecommerce equation. Today, we sell tens of thousands of products from more than 200 brands across different industries and geographies including the Americas, Europe, Australia and Asia. Our current brand partners’ industry presence includes health and wellness, beauty and personal care, home and lifestyle, pet, sports and outdoors and consumer electronics.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developed and maintained, and continue to develop and maintain, strong and long-lasting brand partner relationships. For the year ended December 31, 2024, approximately 87% of our revenue was attributable to existing brand partners. More than 48% of our revenue was attributable to brand partners that have been with Pattern for more than five years. For the year ended December 31, 2024, our NRR was 116%. See the section titled “Management’s Discussion and Analysis of Financial Condition and Results of Operations—Key Business Metric and Non-GAAP Financial Measure” for information on how we define and calculate NRR.</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we benefit from a powerful flywheel effect supporting our growth at scale: the more data we collect, the more accurate our insights become and the faster we accelerate brand partners. As our brand partners grow and we attract new brand partners, the more efficient our operations become and the more we can invest in technology. We use our technology and data advantage to identify high-potential new brand partners and leverage a targeted, efficient go-to market approach to bring them onto our platform, further fueling our flywheel. At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17"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time, our average cost to serve our brand partners globally as a percentage of revenue has decreased over the past three years. As we continue to scale, we expect continued improvement, and we plan to share these savings with our brand partners while we continue to invest in our platform.</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we generated revenue of $1,796 million, which represents a CAGR of 35% over the last two years. During the same period, our net income increased $71 million from ($3) million to $68 million. Our Adjusted EBITDA during 2024 was $101 million, which represents a CAGR of 138% over the last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1800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we generated revenue of $1,139 million, representing a 35% increase from $841 million for the six months ended June 30, 2024. During the same period, our net income increased 31%, from $35 million to $47 million, and our Adjusted EBITDA increased 33%, from $52 million to $69 million.</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For additional information about our non-GAAP financial measure, including reconciliations of the non-GAAP financial measure to the most directly comparable financial measure stated in accordance with GAAP, see the section titled “Management’s Discussion and Analysis of Financial Condition and Results of Operations—Key Business Metric and Non-GAAP Financial Measure.”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Trends</w:t>
      </w:r>
    </w:p>
    <w:p>
      <w:pPr>
        <w:spacing w:after="0" w:line="175"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8"/>
          <w:szCs w:val="18"/>
          <w:color w:val="auto"/>
        </w:rPr>
        <w:t>The approximately $4 trillion global ecommerce market is forecasted to grow at a CAGR of 9.5% 2025 to 2029, representing more than $490 billion of annual growth.</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Not only is global ecommerce expanding, it is also becoming a larger share of retail, increasing from 10% of retail sales in 2016 to a projected 27% by 2029.</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This represents a meaningful shift in consumer spending, as each 1% shift from brick-and-mortar to ecommerce represents over $140 billion in retail value.</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Ecommerce is the preferred channel for an increasing number of consumers, with the global ecommerce market representing 22% of the global retail market in 2024.</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In the top two countries with the highest ecommerce penetration in 2024, South Korea and China, ecommerce represents 49% and 35% of total retail sales, respectively, indicating potential upside for the rest of the world.</w:t>
      </w:r>
      <w:r>
        <w:rPr>
          <w:rFonts w:ascii="Times New Roman" w:cs="Times New Roman" w:eastAsia="Times New Roman" w:hAnsi="Times New Roman"/>
          <w:sz w:val="23"/>
          <w:szCs w:val="23"/>
          <w:color w:val="auto"/>
          <w:vertAlign w:val="superscript"/>
        </w:rPr>
        <w:t>17</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Within ecommerce, marketplaces commanded the largest share of global ecommerce revenue at 58% of total revenue in 2024.</w:t>
      </w:r>
      <w:r>
        <w:rPr>
          <w:rFonts w:ascii="Times New Roman" w:cs="Times New Roman" w:eastAsia="Times New Roman" w:hAnsi="Times New Roman"/>
          <w:sz w:val="22"/>
          <w:szCs w:val="22"/>
          <w:color w:val="auto"/>
          <w:vertAlign w:val="superscript"/>
        </w:rPr>
        <w:t>17</w:t>
      </w:r>
      <w:r>
        <w:rPr>
          <w:rFonts w:ascii="Times New Roman" w:cs="Times New Roman" w:eastAsia="Times New Roman" w:hAnsi="Times New Roman"/>
          <w:sz w:val="17"/>
          <w:szCs w:val="17"/>
          <w:color w:val="auto"/>
        </w:rPr>
        <w:t xml:space="preserve"> For example, in the United States, marketplaces grew over 1.5 times as fast as D2C channels in 2024, growing at over 14% year over year compared to 9% for D2C channels.</w:t>
      </w:r>
      <w:r>
        <w:rPr>
          <w:rFonts w:ascii="Times New Roman" w:cs="Times New Roman" w:eastAsia="Times New Roman" w:hAnsi="Times New Roman"/>
          <w:sz w:val="22"/>
          <w:szCs w:val="22"/>
          <w:color w:val="auto"/>
          <w:vertAlign w:val="superscript"/>
        </w:rPr>
        <w:t>18</w:t>
      </w:r>
    </w:p>
    <w:p>
      <w:pPr>
        <w:spacing w:after="0" w:line="6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An increasing number of new marketplaces, such as Temu and TikTok Shop, are fueled by advancements in technology and changing consumer trends such as social commerce. The growth of marketplaces is primarily driven by 3P sellers and the selection they offer. 3P seller revenue grew from $888 billion in 2019 to $2.0 trillion in 2024, representing a 17% CAGR.</w:t>
      </w:r>
      <w:r>
        <w:rPr>
          <w:rFonts w:ascii="Times New Roman" w:cs="Times New Roman" w:eastAsia="Times New Roman" w:hAnsi="Times New Roman"/>
          <w:sz w:val="23"/>
          <w:szCs w:val="23"/>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263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19"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pacing w:after="0" w:line="3" w:lineRule="exact"/>
        <w:rPr>
          <w:rFonts w:ascii="Times New Roman" w:cs="Times New Roman" w:eastAsia="Times New Roman" w:hAnsi="Times New Roman"/>
          <w:sz w:val="19"/>
          <w:szCs w:val="19"/>
          <w:i w:val="1"/>
          <w:iCs w:val="1"/>
          <w:color w:val="auto"/>
          <w:vertAlign w:val="superscript"/>
        </w:rPr>
      </w:pPr>
    </w:p>
    <w:p>
      <w:pPr>
        <w:ind w:left="380" w:hanging="372"/>
        <w:spacing w:after="0" w:line="189" w:lineRule="auto"/>
        <w:tabs>
          <w:tab w:leader="none" w:pos="380" w:val="left"/>
        </w:tabs>
        <w:numPr>
          <w:ilvl w:val="0"/>
          <w:numId w:val="6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Factset, Ecommerce Intelligence (ID # FI3435US) (Accessed on July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20"/>
          </w:cols>
          <w:pgMar w:left="320" w:top="117"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As marketplaces continue to grow, consumer shopping behavior has also evolved, with an increasing number of consumers searching for products directly within marketplaces rather than using traditional search engines. For example, 61% of online shoppers began their product search on Amazon in 2022.</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 xml:space="preserve"> With this shift, it is increasingly important that brands stand out on the “digital shelf”, or among the top of the search results for a given keyword/keyword phrase. Physical stores have finite shelf space that is largely static, while marketplaces offer an unconstrained digital shelf that dynamically updates. There are hundreds of thousands of keywords to compete on and the “winner-take-most” dynamic of the digital shelf makes it critical to the success of any brand. Products on the first page get at least 80% of clicks, while the top three listings on the first page get at least 60% of clicks,</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18"/>
          <w:szCs w:val="18"/>
          <w:color w:val="auto"/>
        </w:rPr>
        <w:t xml:space="preserve"> meaning brands must compete to optimize their listings for organic search and/or pay to be included in sponsored results. This type of advertising is lucrative for marketplaces that have monetized this placement, but has made it challenging for many brands to balance visibility and profitability.</w:t>
      </w:r>
    </w:p>
    <w:p>
      <w:pPr>
        <w:spacing w:after="0" w:line="149"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8"/>
          <w:szCs w:val="18"/>
          <w:color w:val="auto"/>
        </w:rPr>
        <w:t>The consumer shopping journey continues to shift, with more and more consumers discovering products through new channels such as social media, fueling rapid advancements in social commerce. The number of TikTok Social Buyers</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 xml:space="preserve"> has increased from 6% of total TikTok users in 2020 to 37% of total TikTok users in 2023,</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xml:space="preserve"> creating an opportunity for brands to broaden their channel strategy. Consumers also expect a seamless shopping experience across all touchpoints including product selection, quality and description, competitive pricing and convenience including fulfillment speed, return service and customer support. Approximately 33% of consumers use three or more channels to browse, research and purchase products.</w:t>
      </w:r>
      <w:r>
        <w:rPr>
          <w:rFonts w:ascii="Times New Roman" w:cs="Times New Roman" w:eastAsia="Times New Roman" w:hAnsi="Times New Roman"/>
          <w:sz w:val="23"/>
          <w:szCs w:val="23"/>
          <w:color w:val="auto"/>
          <w:vertAlign w:val="superscript"/>
        </w:rPr>
        <w:t>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Tailwind</w:t>
      </w:r>
    </w:p>
    <w:p>
      <w:pPr>
        <w:spacing w:after="0" w:line="17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Ecommerce is poised to benefit greatly from AI. This advantage stems from the vast number of consumer data points generated with each click, interaction and transaction that take place across the customer journey. AI-enabled solutions can analyze trillions of ecommerce data points to predict consumer behavior, generate personalized recommendations, detect fraud, forecast demand and manage inventory more accurately and efficiently than ever before.</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application of AI is particularly well-suited to ecommerce, where success is driven by optimizing customer experiences, including engaging and compelling product content, availability and pricing. Unlike other industries where the inaccuracy of AI could pose significant risks (e.g., autonomous driving), AI in ecommerce poses much less risk and can be effective in optimizing a wide range of activities including SEO, advertising, content generation and inventory management. As a result, companies with data and technology advantages are well-positioned to use AI to streamline operations and increase consumer satisfaction. Because publicly-available AI solutions have largely been trained on the same data sets, they are now converging on the same answers and results. As a result, companies that possess large, unique and proprietary data sets are well-positioned to drive growth and compete effectively.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Challenges that Brands Experience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Effectively selling across global marketplaces is extremely complex and requires brands to master an array of variables, including:</w:t>
      </w:r>
    </w:p>
    <w:p>
      <w:pPr>
        <w:spacing w:after="0" w:line="167"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Traffic generation: </w:t>
      </w:r>
      <w:r>
        <w:rPr>
          <w:rFonts w:ascii="Times New Roman" w:cs="Times New Roman" w:eastAsia="Times New Roman" w:hAnsi="Times New Roman"/>
          <w:sz w:val="18"/>
          <w:szCs w:val="18"/>
          <w:color w:val="auto"/>
        </w:rPr>
        <w:t>creating awareness and interest in the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Demand capture: </w:t>
      </w:r>
      <w:r>
        <w:rPr>
          <w:rFonts w:ascii="Times New Roman" w:cs="Times New Roman" w:eastAsia="Times New Roman" w:hAnsi="Times New Roman"/>
          <w:sz w:val="18"/>
          <w:szCs w:val="18"/>
          <w:color w:val="auto"/>
        </w:rPr>
        <w:t>identifying and converting existing demand into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optimization: </w:t>
      </w:r>
      <w:r>
        <w:rPr>
          <w:rFonts w:ascii="Times New Roman" w:cs="Times New Roman" w:eastAsia="Times New Roman" w:hAnsi="Times New Roman"/>
          <w:sz w:val="18"/>
          <w:szCs w:val="18"/>
          <w:color w:val="auto"/>
        </w:rPr>
        <w:t>enhancing listings to maximize visibility and conversion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Brand consistency: </w:t>
      </w:r>
      <w:r>
        <w:rPr>
          <w:rFonts w:ascii="Times New Roman" w:cs="Times New Roman" w:eastAsia="Times New Roman" w:hAnsi="Times New Roman"/>
          <w:sz w:val="18"/>
          <w:szCs w:val="18"/>
          <w:color w:val="auto"/>
        </w:rPr>
        <w:t>maintaining a cohesive consumer experience across all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263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70"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eMarketer, Over 60% of US online shoppers start their product search on Amazon – August 2022.</w:t>
      </w:r>
    </w:p>
    <w:p>
      <w:pPr>
        <w:spacing w:after="0" w:line="29" w:lineRule="exact"/>
        <w:rPr>
          <w:rFonts w:ascii="Times New Roman" w:cs="Times New Roman" w:eastAsia="Times New Roman" w:hAnsi="Times New Roman"/>
          <w:sz w:val="9"/>
          <w:szCs w:val="9"/>
          <w:i w:val="1"/>
          <w:iCs w:val="1"/>
          <w:color w:val="auto"/>
        </w:rPr>
      </w:pPr>
    </w:p>
    <w:p>
      <w:pPr>
        <w:ind w:left="380" w:hanging="372"/>
        <w:spacing w:after="0" w:line="192" w:lineRule="auto"/>
        <w:tabs>
          <w:tab w:leader="none" w:pos="380" w:val="left"/>
        </w:tabs>
        <w:numPr>
          <w:ilvl w:val="0"/>
          <w:numId w:val="6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JungleScout, Amazon Product Ranking: How to Rank Page One on Amazon – May 2024, https://www.junglescout.com/resources/articles/amazon-product-ranking/.</w:t>
      </w:r>
    </w:p>
    <w:p>
      <w:pPr>
        <w:spacing w:after="0" w:line="3" w:lineRule="exact"/>
        <w:rPr>
          <w:rFonts w:ascii="Times New Roman" w:cs="Times New Roman" w:eastAsia="Times New Roman" w:hAnsi="Times New Roman"/>
          <w:sz w:val="19"/>
          <w:szCs w:val="19"/>
          <w:i w:val="1"/>
          <w:iCs w:val="1"/>
          <w:color w:val="auto"/>
          <w:vertAlign w:val="superscript"/>
        </w:rPr>
      </w:pPr>
    </w:p>
    <w:p>
      <w:pPr>
        <w:ind w:left="380" w:hanging="372"/>
        <w:spacing w:after="0" w:line="189" w:lineRule="auto"/>
        <w:tabs>
          <w:tab w:leader="none" w:pos="38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TikTok Social Buyers are users that make purchases either via links on the app or directly through the platform.</w:t>
      </w:r>
    </w:p>
    <w:p>
      <w:pPr>
        <w:spacing w:after="0" w:line="3" w:lineRule="exact"/>
        <w:rPr>
          <w:rFonts w:ascii="Times New Roman" w:cs="Times New Roman" w:eastAsia="Times New Roman" w:hAnsi="Times New Roman"/>
          <w:sz w:val="19"/>
          <w:szCs w:val="19"/>
          <w:color w:val="auto"/>
          <w:vertAlign w:val="superscript"/>
        </w:rPr>
      </w:pPr>
    </w:p>
    <w:p>
      <w:pPr>
        <w:ind w:left="380" w:hanging="372"/>
        <w:spacing w:after="0" w:line="189" w:lineRule="auto"/>
        <w:tabs>
          <w:tab w:leader="none" w:pos="380" w:val="left"/>
        </w:tabs>
        <w:numPr>
          <w:ilvl w:val="0"/>
          <w:numId w:val="6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Insider Intelligence (eMarketer), Share of users purchasing on TikTok in the United States from 2020 to 2023 – August 2022 (ID #1416784).</w:t>
      </w:r>
    </w:p>
    <w:p>
      <w:pPr>
        <w:spacing w:after="0" w:line="3" w:lineRule="exact"/>
        <w:rPr>
          <w:rFonts w:ascii="Times New Roman" w:cs="Times New Roman" w:eastAsia="Times New Roman" w:hAnsi="Times New Roman"/>
          <w:sz w:val="19"/>
          <w:szCs w:val="19"/>
          <w:i w:val="1"/>
          <w:iCs w:val="1"/>
          <w:color w:val="auto"/>
          <w:vertAlign w:val="superscript"/>
        </w:rPr>
      </w:pPr>
    </w:p>
    <w:p>
      <w:pPr>
        <w:ind w:left="340" w:right="120" w:hanging="332"/>
        <w:spacing w:after="0" w:line="211" w:lineRule="auto"/>
        <w:tabs>
          <w:tab w:leader="none" w:pos="397" w:val="left"/>
        </w:tabs>
        <w:numPr>
          <w:ilvl w:val="0"/>
          <w:numId w:val="6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Retail Dive, Thirty percent of consumers use more than three commerce channels: Study, https://www.retaildive.com/ex/mobilecommercedaily/thirty-percent-of-consumers-use-more-than-three-commerce-channels.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300" w:hanging="328"/>
        <w:spacing w:after="0" w:line="28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Inventory management: </w:t>
      </w:r>
      <w:r>
        <w:rPr>
          <w:rFonts w:ascii="Times New Roman" w:cs="Times New Roman" w:eastAsia="Times New Roman" w:hAnsi="Times New Roman"/>
          <w:sz w:val="18"/>
          <w:szCs w:val="18"/>
          <w:color w:val="auto"/>
        </w:rPr>
        <w:t>optimizing inventory levels to ensure the right products are available at the right time while minimizing excess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storage costs</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Marketplace compliance: </w:t>
      </w:r>
      <w:r>
        <w:rPr>
          <w:rFonts w:ascii="Times New Roman" w:cs="Times New Roman" w:eastAsia="Times New Roman" w:hAnsi="Times New Roman"/>
          <w:sz w:val="18"/>
          <w:szCs w:val="18"/>
          <w:color w:val="auto"/>
        </w:rPr>
        <w:t>complying with policies across marketplaces and regions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Shipping logistics: </w:t>
      </w:r>
      <w:r>
        <w:rPr>
          <w:rFonts w:ascii="Times New Roman" w:cs="Times New Roman" w:eastAsia="Times New Roman" w:hAnsi="Times New Roman"/>
          <w:sz w:val="18"/>
          <w:szCs w:val="18"/>
          <w:color w:val="auto"/>
        </w:rPr>
        <w:t>offering fast and reliable yet cost-effective ways to deliver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Post-purchase engagement: </w:t>
      </w:r>
      <w:r>
        <w:rPr>
          <w:rFonts w:ascii="Times New Roman" w:cs="Times New Roman" w:eastAsia="Times New Roman" w:hAnsi="Times New Roman"/>
          <w:sz w:val="18"/>
          <w:szCs w:val="18"/>
          <w:color w:val="auto"/>
        </w:rPr>
        <w:t>converting one-time purchasers to repeat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expansion: </w:t>
      </w:r>
      <w:r>
        <w:rPr>
          <w:rFonts w:ascii="Times New Roman" w:cs="Times New Roman" w:eastAsia="Times New Roman" w:hAnsi="Times New Roman"/>
          <w:sz w:val="18"/>
          <w:szCs w:val="18"/>
          <w:color w:val="auto"/>
        </w:rPr>
        <w:t>capitalizing on growth opportunities across different regions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Pattern, we believe it is virtually impossible for brands to optimize each variable by themselves. Our 2024 internal survey of more than 300 North American brand leaders showed that half of brands have ecommerce teams of five or fewer and 70% have 10 or fewer. These brands with ecommerce teams can be tasked with managing hundreds of SKUs across dozens of global marketplaces (including their own .com or D2C sites), often executing on thousands of keywords per product and navigating complexity that increases each year. These complexities apply regardless of business model – whether they utilize 3P or 1P selling strategies, brands are required to list and market their own products on the marketplace while considering pricing and inventory levels.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these complexities and opaque marketplace requirements, brands are presented with five key challenges: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 #1: Growing profitably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Achieving profitable growth online is a significant challenge for many brands, despite the expanding opportunities in ecommerce.</w:t>
      </w:r>
    </w:p>
    <w:p>
      <w:pPr>
        <w:spacing w:after="0" w:line="171"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new consumers online has steadily increased due to intense competition for digital ad space.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on major marketplaces involves substantial fees, including referral fees, advertising and merchandising fees and other marketplace fees.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logistics is particularly expensive, especially with growing consumer expectations for fast delivery, free shipping and easy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balancing act between meeting consumer demand and avoiding excess inventory.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internal technology like inventory management and analytics is a time consuming and expensive endeavor.</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upgrading these technologies is expensive, and smaller brands struggle to afford the level of sophistication and lack the expertise and resources required to compete with larger, established players.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constant technological innovation adds further pressure on costs and profitability.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 #2: Lack of technology</w:t>
      </w:r>
    </w:p>
    <w:p>
      <w:pPr>
        <w:spacing w:after="0" w:line="1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Many brands do not have integrated technology capabilities. Using a patchwork of solutions can make it difficult for brands to come up with coherent strategies and coordinated execution, leading to inefficiencies and inconsistencies.</w:t>
      </w:r>
    </w:p>
    <w:p>
      <w:pPr>
        <w:spacing w:after="0" w:line="108" w:lineRule="exact"/>
        <w:rPr>
          <w:sz w:val="20"/>
          <w:szCs w:val="20"/>
          <w:color w:val="auto"/>
        </w:rPr>
      </w:pPr>
    </w:p>
    <w:p>
      <w:pPr>
        <w:ind w:left="660" w:right="20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disconnected technology for advertising and inventory management across different marketplaces can result in operating inefficiencies such as stockouts, which can increase costs, delay fulfillment and strain relationships with consumers.</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patchwork of ecommerce technology often leads to higher costs, since each tool or platform requires a separate subscription, custom integration and ongoing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3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brands also lack the technology or systems to capture and analyze data in real time, which can cause delayed insights for inventory and marketing strategies.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 #3: Lack of access to high quality and comprehensive data</w:t>
      </w:r>
    </w:p>
    <w:p>
      <w:pPr>
        <w:spacing w:after="0" w:line="173" w:lineRule="exact"/>
        <w:rPr>
          <w:sz w:val="20"/>
          <w:szCs w:val="20"/>
          <w:color w:val="auto"/>
        </w:rPr>
      </w:pPr>
    </w:p>
    <w:p>
      <w:pPr>
        <w:ind w:left="660" w:right="24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often face significant challenges in capturing high quality and comprehensive ecommerce data, which can limit their ability to optimize strategies, improve customer experiences and drive growth.</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unable to access certain key data on global marketplaces, advertising platforms and social media without custom-built technology.</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selling across multiple channels—direct-to-consumer websites, social media platforms and marketplaces—face difficulties consolidating data into a single source of truth.</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ecommerce platforms use varying formats and metrics, which can result in inaccurate or incomplete data when integrated improperly.</w:t>
      </w:r>
    </w:p>
    <w:p>
      <w:pPr>
        <w:spacing w:after="0" w:line="171" w:lineRule="exact"/>
        <w:rPr>
          <w:rFonts w:ascii="Times New Roman" w:cs="Times New Roman" w:eastAsia="Times New Roman" w:hAnsi="Times New Roman"/>
          <w:sz w:val="18"/>
          <w:szCs w:val="18"/>
          <w:color w:val="auto"/>
        </w:rPr>
      </w:pPr>
    </w:p>
    <w:p>
      <w:pPr>
        <w:ind w:left="660" w:right="820" w:hanging="328"/>
        <w:spacing w:after="0" w:line="283"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data and a lack of automation can also lead to overspending on advertising, which benefits marketplaces, but hurts brand profitability: in 2023, the average cost per click of sponsored product ads on Amazon U.S. increased by 11.6% from 2022.</w:t>
      </w:r>
      <w:r>
        <w:rPr>
          <w:rFonts w:ascii="Times New Roman" w:cs="Times New Roman" w:eastAsia="Times New Roman" w:hAnsi="Times New Roman"/>
          <w:sz w:val="23"/>
          <w:szCs w:val="23"/>
          <w:color w:val="auto"/>
          <w:vertAlign w:val="superscript"/>
        </w:rPr>
        <w:t>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 #4: Lack of expertise</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Hiring a team that understands the complex ecommerce landscape is extremely difficult and expensive. Without dedicated teams to help integrate the necessary solutions, the technology alone is unlikely to translate into growth and operational efficiency.</w:t>
      </w:r>
    </w:p>
    <w:p>
      <w:pPr>
        <w:spacing w:after="0" w:line="108" w:lineRule="exact"/>
        <w:rPr>
          <w:sz w:val="20"/>
          <w:szCs w:val="20"/>
          <w:color w:val="auto"/>
        </w:rPr>
      </w:pPr>
    </w:p>
    <w:p>
      <w:pPr>
        <w:ind w:left="660" w:right="80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require in-depth, specialized knowledge to succeed across multiple marketplaces and regions which have different and evolving regulations, rules and policies.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experts, as brands scale, the aforementioned inefficiencies and inconsistencies like stockouts will only be exacerbated.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emerging ecommerce channels such as TikTok Shop rise in prominence, brands require a nimble team to adapt to the ever-changing landscape.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 #5: Retaining brand value throughout the consumer experience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difficult for brands to position themselves consistently across different marketplaces.</w:t>
      </w:r>
    </w:p>
    <w:p>
      <w:pPr>
        <w:spacing w:after="0" w:line="171" w:lineRule="exact"/>
        <w:rPr>
          <w:sz w:val="20"/>
          <w:szCs w:val="20"/>
          <w:color w:val="auto"/>
        </w:rPr>
      </w:pPr>
    </w:p>
    <w:p>
      <w:pPr>
        <w:ind w:left="66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marketplaces attract more 3P sellers, the featured offer becomes increasingly competitive as dynamic pricing and marketplace algorithms often prioritize lower prices over other metrics, making it harder for brands to maintain premium positioning.</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are often forced to compete on price, driving down listing price and creating a “race to the bottom” across the ecommerce ecosystem that hurts brands’ profitability and can harm overall brand reputation.</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sellers often list products for sale at lower prices with inaccurate or incomplete product descriptions, without adhering to brand guidelines, which undercuts authorized distributors and can weaken a brand’s pricing and image.</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8"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counterfeit products can damage a brand’s reputation and erode consumer trust. For example, according to a survey, approximately 65% of consumers who have unintentionally purchased counterfeit goods lost trust in a brand after such purchases, stopping them from ever repurchasing anything from that brand again.</w:t>
      </w:r>
      <w:r>
        <w:rPr>
          <w:rFonts w:ascii="Times New Roman" w:cs="Times New Roman" w:eastAsia="Times New Roman" w:hAnsi="Times New Roman"/>
          <w:sz w:val="23"/>
          <w:szCs w:val="23"/>
          <w:color w:val="auto"/>
          <w:vertAlign w:val="super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263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48"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eMarketer, Industry KPIs: Advertising on Amazon is getting more expensive, but ROAS is holding steady – March 2024.</w:t>
      </w:r>
    </w:p>
    <w:p>
      <w:pPr>
        <w:spacing w:after="0" w:line="29" w:lineRule="exact"/>
        <w:rPr>
          <w:rFonts w:ascii="Times New Roman" w:cs="Times New Roman" w:eastAsia="Times New Roman" w:hAnsi="Times New Roman"/>
          <w:sz w:val="9"/>
          <w:szCs w:val="9"/>
          <w:color w:val="auto"/>
        </w:rPr>
      </w:pPr>
    </w:p>
    <w:p>
      <w:pPr>
        <w:ind w:left="380" w:hanging="372"/>
        <w:spacing w:after="0" w:line="192" w:lineRule="auto"/>
        <w:tabs>
          <w:tab w:leader="none" w:pos="380" w:val="left"/>
        </w:tabs>
        <w:numPr>
          <w:ilvl w:val="0"/>
          <w:numId w:val="7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Incopro, Counterfeit products are endemic – and it is damaging brand value – July 2019, https://www.incoproip.com/wp-content/uploads/2020/02/Incopro-Market-Research-Report.pdf.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00"/>
          </w:cols>
          <w:pgMar w:left="320" w:top="117"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8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brands expand to new marketplaces, they often face challenges in maintaining high standards for delivery speed and customer service, which can ultimately hinder the success of their marketplace expansion efforts.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Ecommerce Acceleration Category</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Brands require a comprehensive solution to scale their ecommerce businesses. However, technology alone can’t solve the complexities of ecommerce. Success requires a combination of advanced technology and proven industry expertise. As the pioneer of ecommerce acceleration, Pattern defines what it means to be an ecommerce accelerator: a platform that combines proprietary technology and on-demand expertise.</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created the ecommerce acceleration category to offer a platform to help brands rapidly scale their online presence and maximize their performance across digital channels. Key solutions from ecommerce accelerators include platform integration, data and analytics, marketing and advertising solutions, supply chain optimization, listing optimization, pricing and promotion management and customer engagement solutions. Coupled with on-demand expertise to facilitate execution, these solutions can help brands increase sales, improve customer experience, expand to new markets and marketplaces faster and better adapt to the changes in the dynamic ecommerce world.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platform is a combination of our proprietary technology and our on-demand expertise, both of which sit upon our differentiated data set. Our software and global team of industry experts optimize traffic, conversion, price and availability to drive profitable growth for our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854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line="267" w:lineRule="auto"/>
        <w:rPr>
          <w:sz w:val="20"/>
          <w:szCs w:val="20"/>
          <w:color w:val="auto"/>
        </w:rPr>
      </w:pPr>
      <w:r>
        <w:rPr>
          <w:rFonts w:ascii="Times New Roman" w:cs="Times New Roman" w:eastAsia="Times New Roman" w:hAnsi="Times New Roman"/>
          <w:sz w:val="14"/>
          <w:szCs w:val="14"/>
          <w:i w:val="1"/>
          <w:iCs w:val="1"/>
          <w:color w:val="auto"/>
        </w:rPr>
        <w:t>The diagram above illustrates the key components of our platform and the subparts that form a multi-faceted ecommerce acceleration value proposition. Our technology stack is illustrated on the right side of the diagram. Users start their journey by logging into the EXP, where they gain access to a myriad of data-driven insights at both the brand and product levels. They can choose from four execution engines (Traffic, Conversion, Price and Availability), each offering various modules to take action to optimize marketplace performance. These optimizations are informed by our proprietary data set, which is analyzed and transformed into actionable insights through our AI computational layer. Additional details of each layer within our platform are depicted on the left side of the diagram.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Pattern’s EXP is powered by a massive proprietary data set consisting of more than 46 trillion data points. This data set informs our machine learning algorithms and LLMs that we employ in our technology. Our data set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17"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competitive advantage, not LLMs alone. By virtue of our scale, presence and data collection practices on marketplaces, advertising platforms and social media applications around the world, we continue to add to our data advantage, collecting billions of new data points each day. We believe this data set provides a competitive moat that deepens over time as large quantities of data are collected, further differentiating our platform from alternative solutions.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 Data Layer</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backbone of Pattern’s EXP is formed from its robust and extensive data layer. This layer acts as the central nervous system of the platform. Millions of daily API calls send critical information, with data points on everything from keyword data to fulfillment rates to market share that are leveraged to inform the rest of the platform’s functions. This backbone not only draws on our existing 46 trillion data points, but also collects, stores and structures more than 100 billion new data points each week on average. This data covers a wide variety of signals across millions of products, keywords, brands, consumer behavioral inputs and more, including search, advertising, fulfillment, content conversion rates, ratings and reviews, social media influencers, likes, shares, clicks and comments. In addition, our data set is augmented by relationships with other data providers.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EXP data layer also includes the various machine learning, natural language processing engines and LLMs that train on our wide set of proprietary data. We refer to machine learning, natural language processing engines and LLMs collectively as our AI base that produces data-driven insights to power our platform. We have developed our own proprietary AI models and also license AI models and other technologies from third parties. Our AI models rely on a diverse range of sources, including data collected from our customers, brand partners and, in some cases, website scraping, other data collected from marketplaces and other third parties and self-generated data, including novel data generated through machine learning. This data covers a wide variety of signals across millions of products, keywords, brands, consumer behavioral inputs and more, including search, advertising, fulfillment, content conversion rates, ratings and reviews, social media influencers, likes, shares, clicks and comments. We review, refine and prepare the data, establishing clear criteria for the data used by our AI models. As opposed to algorithmic code which generates a determined outcome based on certain inputs, these AI models utilize internal logic to analyze billions of data points and learn how that data is connected, draw inferences from that data based on the models’ internal logic and layered complex decision making, and use those inferences to produce valuable computations and insights when presented with novel data, which are then utilized by the rest of the platform. Our AI models continue to improve in line with the increasing data used to train each successive model. The AI layer also runs security protocols and authentication applications to help track users, accounts and other integration points. Despite the business scale we have reached due to our EXP, we believe our EXP is still in the early stages of product development and its potential. We continue to develop this proprietary technology daily through continued investment and refining of our data collection techniques and AI models. This development process has resulted in valuable and marketable byproducts secondary to the core EXP use cases, such as AI-generated product content optimization with applications beyond ecommerce acceleration. These byproducts have resulted in us licensing specific SaaS solutions to our consulting clients. We will continue to monitor our nascent business lines that we could potentially license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Insights Engine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Pattern Insights Engine is the analytical brain of EXP. The Insights Engine compiles the AI-driven computations from the EXP data layer and continuously aggregates them into performance dashboards, scorecards, filter-ready reporting and ongoing notifications. The Insights Engine sits across the execution engines extending to every module of the EXP. This provides up-to-the-minute reporting and signals on hundreds of key processes and metrics, including payments to social influencers, impressions on listings, syndication failure rates for content being pushed to marketplaces, customer lifetime value and much more.</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Insights Engine is leveraged by Pattern experts and brand partners alike to keep a pulse on important trends, issues and opportunities. How did a brand’s top SKU perform revenue-wise on Black Friday compared to last year? How fast is the category growing for “Facial Microdermabrasion Products” and is market share for Brand X in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117"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sub-category up or down over the past 60 days? Which products are at risk of going out of stock in the next 45 days and what is the status of inbound goods to replenish them? What is the average fee paid to an influencer within the Beauty category on TikTok Shop? These are just a handful of the myriad insights being served up daily via the Pattern Insights Engine.</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powerful example of a module within the Insights Engine is Pattern’s Digital Shelf. This capability works by prompting the user to enter in a product name, keyword or Amazon standard identification number (“ASIN”). Within milliseconds, it returns a detailed description of and important data regarding that product’s top competitors across the Amazon site in the search field.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Execution Engines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an Insights Engine, Pattern’s EXP includes four execution engines, which each contain modules that enable automation, scale, and execution based on the information and insights gleaned from the Insights Engine. These four Execution Engines align to the ecommerce equation: Traffic, Conversion, Price and Availability.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Traffic Engine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Pattern EXP Traffic Engine is the execution arm for all activity related to driving digital traffic (i.e., consumer eyeballs) to brands and product listings around the world. One of the highlights of this engine is a patented keyword recommendation module we call Destiny. The goal of Destiny is to increase organic (i.e., non-paid) traffic to a given listing by using machine learning and proprietary data to recommend keywords and keyword phrases on which said listing has mathematical propensity to win better placement.</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ecommerce Digital Shelf reflects a product’s current competitive landscape, not aspirational comparisons. Marketplace algorithms prioritize products with strong performance indicators: high click-through and conversion rates, new-to-category customers, low return rates and repeat purchases. Destiny highlights keywords with the highest winnability, or a product’s ability to outperform competitors across these key performance metrics. As strong performance drives higher organic rankings, products gain visibility across more keywords, unlocking greater sales opportunities. These incremental wins compound over time, driving growth.</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Destiny works by identifying these keywords at a product level and then pushing those recommendations into Pattern’s algorithmic bidding technology, which systematically optimizes advertising bids thousands of times throughout the day on the product and marketplace in question. By leveraging Destiny, brands are able to dramatically increase their advertising efficiency in two ways:</w:t>
      </w:r>
    </w:p>
    <w:p>
      <w:pPr>
        <w:spacing w:after="0" w:line="122" w:lineRule="exact"/>
        <w:rPr>
          <w:sz w:val="20"/>
          <w:szCs w:val="20"/>
          <w:color w:val="auto"/>
        </w:rPr>
      </w:pPr>
    </w:p>
    <w:p>
      <w:pPr>
        <w:ind w:left="660" w:right="28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Reallocating existing advertising spend to keywords on which they have higher winnability (which typically converts at a higher rate and costs less);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Demonstrably improving the organic ranking of the brand’s products across thousands of keywords.</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scale and volume of keywords and keyword phrases that Destiny analyzes is impracticable to replicate manually and offers the opportunity to capture sales on the full list of relevant searches. In addition, by bidding only on keywords or keyword phrases for which the product is not organically ranking, Destiny helps ensure that advertising-driven revenue is truly incremental.</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Pattern EXP Traffic Engine includes many other important modules, which enable recruiting, managing, paying and communicating with social media creators, managing advertising and influencer campaigns on marketplaces and social networks and managing/optimizing advertising spend across every aspect of the demand funnel, to name a few.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Engine</w:t>
      </w:r>
    </w:p>
    <w:p>
      <w:pPr>
        <w:spacing w:after="0" w:line="173" w:lineRule="exact"/>
        <w:rPr>
          <w:sz w:val="20"/>
          <w:szCs w:val="20"/>
          <w:color w:val="auto"/>
        </w:rPr>
      </w:pPr>
    </w:p>
    <w:p>
      <w:pPr>
        <w:jc w:val="both"/>
        <w:ind w:right="480"/>
        <w:spacing w:after="0" w:line="289" w:lineRule="auto"/>
        <w:rPr>
          <w:sz w:val="20"/>
          <w:szCs w:val="20"/>
          <w:color w:val="auto"/>
        </w:rPr>
      </w:pPr>
      <w:r>
        <w:rPr>
          <w:rFonts w:ascii="Times New Roman" w:cs="Times New Roman" w:eastAsia="Times New Roman" w:hAnsi="Times New Roman"/>
          <w:sz w:val="17"/>
          <w:szCs w:val="17"/>
          <w:color w:val="auto"/>
        </w:rPr>
        <w:t>The Pattern EXP Conversion Engine is the execution arm for all efforts aimed at improving the efficacy and conversion rate of a brand’s content and listings across dozens of ecommerce and social media platforms, which may include everything from product detail page titles and bullets to product photography, videos, user-generated content and other microsites, landing pages and advertisements. In addition to granular reporting on page 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117"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click share, orders, category ranking and reviews for any given product, the Conversion Engine leverages our data, LLMs and transformer-based neural networks, a type of machine learning model that excels in tasks like language understanding, translation and text generation, to provide competitive insights comparisons to the digital shelf and make sophisticated content recommendations. This provides actionable value in three primary areas: content management, content optimization and content creation.</w:t>
      </w:r>
    </w:p>
    <w:p>
      <w:pPr>
        <w:spacing w:after="0" w:line="122" w:lineRule="exact"/>
        <w:rPr>
          <w:sz w:val="20"/>
          <w:szCs w:val="20"/>
          <w:color w:val="auto"/>
        </w:rPr>
      </w:pPr>
    </w:p>
    <w:p>
      <w:pPr>
        <w:ind w:left="660" w:hanging="328"/>
        <w:spacing w:after="0" w:line="254"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management: </w:t>
      </w:r>
      <w:r>
        <w:rPr>
          <w:rFonts w:ascii="Times New Roman" w:cs="Times New Roman" w:eastAsia="Times New Roman" w:hAnsi="Times New Roman"/>
          <w:sz w:val="18"/>
          <w:szCs w:val="18"/>
          <w:color w:val="auto"/>
        </w:rPr>
        <w:t>For a given brand owner, each of their products have both digital assets (such as product photography and videos)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potentially hundreds of product attributes (such as weight, dimensions, model numbers, ingredients and product descriptions) that are shared daily with retailers, distributors and customers alike. Pattern’s Conversion Engine includes both a digital asset management library (“DAM”) as well as a product information management system (“PIM”) that simultaneously catalog and categorize millions of product assets and attributes into an easy-to-use and easy-to-navigate system. Brands not only leverage these systems as an internal source of information, but also share access with partners and vendors. Because retailers and ecommerce platforms have different requirements related to assets (such as number of images, colors and sizing) and content (such as character length, SKU numbers and preferred attributes), Pattern’s syndication module also provides ready-made templates for distributing content to retailers and marketplaces and in many cases, dynamically syndicates content and assets via API to these platforms in a manner designed to ensure any issues or failures are quickly addressed and resolved. The engine can also proactively monitor marketplaces to ensure that if a brand’s content is inadvertently changed by another party, the brand will be notified that it does not “match” their preferred and often legally mandated content library.</w:t>
      </w:r>
    </w:p>
    <w:p>
      <w:pPr>
        <w:spacing w:after="0" w:line="128" w:lineRule="exact"/>
        <w:rPr>
          <w:rFonts w:ascii="Times New Roman" w:cs="Times New Roman" w:eastAsia="Times New Roman" w:hAnsi="Times New Roman"/>
          <w:sz w:val="18"/>
          <w:szCs w:val="18"/>
          <w:color w:val="auto"/>
        </w:rPr>
      </w:pPr>
    </w:p>
    <w:p>
      <w:pPr>
        <w:ind w:left="660" w:right="60" w:hanging="328"/>
        <w:spacing w:after="0" w:line="273" w:lineRule="auto"/>
        <w:tabs>
          <w:tab w:leader="none" w:pos="65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Content optimization: </w:t>
      </w:r>
      <w:r>
        <w:rPr>
          <w:rFonts w:ascii="Times New Roman" w:cs="Times New Roman" w:eastAsia="Times New Roman" w:hAnsi="Times New Roman"/>
          <w:sz w:val="17"/>
          <w:szCs w:val="17"/>
          <w:color w:val="auto"/>
        </w:rPr>
        <w:t>Pattern’s patent-pending content optimization technology is based on deep data and analysis of a product’s primary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competitors, or digital shelf. In order to make recommendations for optimizing content on a given product, our technology uses AI to analyze more than 2 million data points including the images, titles, bullet points and brand content for hundreds of the product’s closest competitors. The output of this analysis is a fact sheet that contains the equivalent of more than 10,000 pages of competitive insights. For example, for the photography recommendations, we use AI to determine image classifications or archetypes for every photo of every competitive product to determine which image archetypes are best converting and generating revenue on the marketplace. We then condense this data into a “Content Brief,” which provides specific, data-driven recommendations on improving the functionality, positioning and content for the product in question.</w:t>
      </w:r>
    </w:p>
    <w:p>
      <w:pPr>
        <w:spacing w:after="0" w:line="117" w:lineRule="exact"/>
        <w:rPr>
          <w:rFonts w:ascii="Times New Roman" w:cs="Times New Roman" w:eastAsia="Times New Roman" w:hAnsi="Times New Roman"/>
          <w:sz w:val="17"/>
          <w:szCs w:val="17"/>
          <w:color w:val="auto"/>
        </w:rPr>
      </w:pPr>
    </w:p>
    <w:p>
      <w:pPr>
        <w:ind w:left="660" w:right="120" w:hanging="328"/>
        <w:spacing w:after="0" w:line="268"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creation: </w:t>
      </w:r>
      <w:r>
        <w:rPr>
          <w:rFonts w:ascii="Times New Roman" w:cs="Times New Roman" w:eastAsia="Times New Roman" w:hAnsi="Times New Roman"/>
          <w:sz w:val="18"/>
          <w:szCs w:val="18"/>
          <w:color w:val="auto"/>
        </w:rPr>
        <w:t>For brands who desire greater scale, speed or efficiency, Pattern’s Conversion Engine leverages AI-driven content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that are given detailed prompts extracted from the 10,000-page equivalent fact sheets that we generate for each content brief. The result is a vast array of photos designed to learn from and leverage the attributes of the highest-converting archetypes in the category.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Engine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Pattern’s Price Engine includes a wide range of modules related to maintaining brand control on marketplaces. Most marketplaces include some sort of “add to cart” section of a product listing page, which is also known as the featured offer. The featured offer generally lists the product price, the name of the seller offering the product and some indication of how the product will be shipped to the customer — often fulfilled by the marketplace or directly shipped from the seller. Ironically, brands do not have good visibility into these dynamics or metrics for their products. Pattern’s Price Engine allows brands to better understand if unauthorized sellers are selling their product, for what price they are selling it and what share of overall sales these sellers are commanding. For brands that have a minimum advertised pricing (“MAP”) policy, they are able to view MAP-adherence for sellers in regions where MAP applies. Within this engine, Pattern also monitors hundreds of websites daily to help brands detect price suppression, price erosion and general price competitiveness.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Availability Engine</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Pattern’s Availability Engine contains a number of modules, including a robust order management system, which provides brands with ongoing visibility into their product inventory pools across marketplaces,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20"/>
          </w:cols>
          <w:pgMar w:left="320" w:top="117"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detailed information on where their products reside in the pipeline. Other modules in the Availability Engine provide Pattern internal teams with forecasting models and detailed information regarding in-stock rates, which helps brands avoid advertising products that are at imminent risk of going out of stock. Further product details provided include physical location and status of purchased goods, including area designations, location profiles, storage IDs and pick types. Other functionality within this engine includes inventory mapping, order queues and process types. This software is critical in helping maintain high in-stock rates for brand partners and keeping Pattern warehouses running efficiently.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On-Demand Expertise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team of global, in-house experts includes experienced brand managers, ad strategists, SEO strategists, art directors, account health specialists, data scientists, former brand and retail executives, customer service specialists and in-stock managers. Our experts leverage our platform and experience across many brands to seek to profitably grow our revenue while executing with our brand partners’ specific goals and priorities in mind. Our experts execute against our acceleration playbook, which includes a number of activities across the brand partner lifecycle. We believe our technology is amplified by our team, and this combination will drive greater success than standalone agency models or technology solutions.</w:t>
      </w:r>
    </w:p>
    <w:p>
      <w:pPr>
        <w:spacing w:after="0" w:line="1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kick off new brand partnerships by assigning a brand manager to each new brand partner to offer dedicated, end-to-end support and drive alignment on key priorities and goals through a joint business plan. Using our forecasting model, in-stock managers place orders for the inventory we expect to sell in the first few months of the relationship, which is shipped to Pattern’s warehouses for preparation and shipment to the contracted marketplace(s). Better accuracy and speed means customers see in-stock messaging faster and more reliably on product listing pages, which drives traffic and conversion. This is also bolstered by optimized product titles, bullets and product descriptions. Once products are in stock with optimized listings on the relevant marketplace(s), advertising strategists launch campaigns, leveraging Pattern’s patented technology, with the goal of driving placement in the top four search results for relevant keyword/keyword phrases. Our customer service teams also begin managing customer interactions and any customer loyalty programs.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revenue ramps, we manage ongoing business performance measurement, tracking metrics including revenue, price consistency, in-stock rates, inventory health, catalog completeness, advertising efficiency and customer review sentiments. We also ensure readiness for growth opportunities, including brand participation in events (such as Black Friday and Chinese Singles Day) and use our data to surface opportunities to expand to new marketplaces and new regions.</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team is accessible to brand partners through regular business reviews scheduled on a weekly, monthly and quarterly cadence, as well as on an ad-hoc basis, offering brand leaders and executives assurance that any emergent opportunities or issues will be quickly identified and addressed.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Win-win Partnership Mindset</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run our business on the philosophy that a brand partner’s success and our success are linked. Our business model avoids the “agency mindset,” as the incentives of both Pattern and our brand partners are economically aligned towards driving consumer product sales. Whereas traditional marketplace agencies and technology providers charge fees, retainers and percentages of advertising spend, Pattern’s brand partners benefit from a highly symbiotic business model where our revenue is directly tied to the sales of our brand partners’ products. The more we sell to customers, the more we buy from our brand partners and, therefore, our success is our brand partner’s success.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Acquiring inventory demonstrates our commitment to and belief in our own capabilities while providing a more seamless and a low-friction collaboration with our brand partners by allowing us to maintain control over the entire process, from product content and pricing to customer service, logistics and data collection. Our model helps create enduring relationships with our brand partners and offers scalability that we believe surpasses most software-only monetization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Proprietary Technology and Data Sets</w:t>
      </w:r>
    </w:p>
    <w:p>
      <w:pPr>
        <w:spacing w:after="0" w:line="17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As one of the largest third-party sellers worldwide—and the largest on Amazon in the United States</w:t>
      </w:r>
      <w:r>
        <w:rPr>
          <w:rFonts w:ascii="Times New Roman" w:cs="Times New Roman" w:eastAsia="Times New Roman" w:hAnsi="Times New Roman"/>
          <w:sz w:val="23"/>
          <w:szCs w:val="23"/>
          <w:color w:val="auto"/>
          <w:vertAlign w:val="superscript"/>
        </w:rPr>
        <w:t>26</w:t>
      </w:r>
      <w:r>
        <w:rPr>
          <w:rFonts w:ascii="Times New Roman" w:cs="Times New Roman" w:eastAsia="Times New Roman" w:hAnsi="Times New Roman"/>
          <w:sz w:val="18"/>
          <w:szCs w:val="18"/>
          <w:color w:val="auto"/>
        </w:rPr>
        <w:t>—we hold a distinct and growing data advantage. We gather massive amounts of real-time data, with more than 46 trillion data points captured since our inception and more than 100 billion new data points added each week on average. Our proprietary and scaled data assets allow us to provide differentiated insights for our brand partners across the ecommerce equation, from sales to marketing, consumer behavior, fulfillment and logistics. By virtue of our increasing presence and data collection on more than 500 million products across 100 marketplaces, advertising platforms and social media applications around the world, we continue to enhance our proprietary data set.</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Collectively, our Insights Engine and software that form the Pattern platform cover all aspects of the ecommerce equation for our brand partners. The foundation of our technology is Pattern’s EXP, composed of our data and computational layers, including our AI technologies. Our various machine learning, natural language processing and LLMs analyze billions of data points to provide valuable computations. Our Insights Engine then continuously aggregates insights from Pattern’s EXP into performance dashboards driving all of our modules, producing traffic, conversion, price and availability insights that we use to make data-driven decisions at scale. We provide brand partners with crucial data to safeguard their brand equity online by facilitating consistency across marketplaces and enabling brands to have unified product listing content, fast delivery speeds and quality customer service. The scale and volume of data points that our machine language-powered software analyzes is impracticable to replicate manually, which we believe provides us with a technological advantage over other ecommerce accelerators.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On-demand Expertise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strength of our platform is amplified by our integrated, on-demand industry experts who use our technology to offer valuable insights and best practices for succeeding in online channels. Our experts have extensive experience across multiple brands, categories, marketplaces and regions – possessing a depth of knowledge that surpasses what any single brand could independently achieve. For example, our experts can help create a tailored operational strategy, offering expertise to our brand partners, including marketing strategy and implementation, creative development and customer service. Among other things, these experts offer expertise on digital marketing, leveraging SEO, social media, email campaigns and paid advertising to drive traffic and boost conversions. In addition, as brands expand globally, our experts can pass on critical information such as the largest and most strategic shipping ports in the world and associated costs. Our experts work closely with brand partners, maintaining strong relationships and open lines of communication, providing brands regular performance updates. This transparency fosters a strong, collaborative relationship where both parties are aligned in their objectives.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Scale</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global scale is at the heart of our efficacy as an ecommerce accelerator. Every element of our platform benefits from compounding scale, from breadth and diversity of data, to technology investment and on-demand experts, to our global logistics network. For example, we have approximately 400 software engineers, data scientists and other technology professionals focused on enhancing our technology, and we have large talent centers dedicated to excellent operational support. We also batch our shipments, allowing us to ship approximately 92% of our units in the United States in full truckloads, which have a shipping cost that is generally more than 75% below shipments sent in less-than-full truckloads. These benefits of scale have compounding returns, as the more data we collect, the more accurate our insights become, the faster we accelerate brands. As our brand partners grow and we attract new brands, the more efficient our operations become and the more we can invest in technology. Without the benefits we derive from scale, many of our brand partners would be unable to effectively compete in marketplaces.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First-mover Advantage</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also benefit from first-mover advantages. We invested early in building proprietary technology to gather and analyze ecommerce data. As the first mover, we have built a competitive edge by accumulating a robust data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2631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3" w:lineRule="exact"/>
        <w:rPr>
          <w:sz w:val="20"/>
          <w:szCs w:val="20"/>
          <w:color w:val="auto"/>
        </w:rPr>
      </w:pPr>
    </w:p>
    <w:p>
      <w:pPr>
        <w:ind w:left="380" w:hanging="372"/>
        <w:spacing w:after="0"/>
        <w:tabs>
          <w:tab w:leader="none" w:pos="380" w:val="left"/>
        </w:tabs>
        <w:numPr>
          <w:ilvl w:val="0"/>
          <w:numId w:val="7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Market Pulse, Top Amazon Marketplace Sellers, https://www.marketplacepulse.com/top-amazon-usa-sellers (Accessed on November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00"/>
          </w:cols>
          <w:pgMar w:left="320" w:top="117"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entering complex international markets and establishing a track record of seller excellence across global marketplaces, which allows us to offer data-driven insights and comprehensive optimization strategies for our brand partners. We also leverage our first-mover status to scale globally, establishing infrastructure and expertise in international markets before many competitors. This head start allows us to assist brands with global expansion, providing a significant competitive advantage.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 and Long-lasting Brand Partner Relationships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built enduring relationships with our brand partners that we believe surpass most software-only monetization models. For the year ended December 31, 2024, approximately 87% of our revenue was attributable to existing brand partners, and more than 48% of our revenue was attributable to brand partners that have been with Pattern for more than five years, demonstrating our strong and durable relationships.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Proven Leadership Team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our talent, expertise and culture are key competitive advantages. Our founder-led, data-obsessed team comprises a diverse range of experts who are highly focused on execution, innovation and continuous improvement. Our team is at the core of our ability to drive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Flywheel Effect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our proprietary data and technology and our global logistics network to optimize the ecommerce equation to drive growth for our brand partners. We believe we benefit from a powerful flywheel effect supporting our growth at scale: the more data we collect, the more accurate our insights become and the faster we accelerate brands. As our brand partners grow and we attract new brands, the more efficient our operations become and the more we can invest in technology.</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presence on multiple marketplaces allows us to gather valuable data and insights from the larger data set, which helps us drive success for our brand partners. This data improves our targeting and marketing capabilities on platforms like Google, Facebook and marketplaces. Our scale allows us to test and optimize at a level that smaller operators cannot afford. With a larger volume of ad campaigns and data, our understanding across market share, revenue share, click share and keyword impressions becomes more accurate and we can more effectively leverage machine learning and AI to optimize marketing strategies. The insights gained from managing more brands provide an advantage in terms of refining advertising techniques and maximizing return on investment.</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With more brands under management, and as we increase volume and overall scale, we better optimize logistics and shipping across our platform, improving delivery times and decreasing the cost per brand using our platform. This creates an attractive offering for brands that lack the ability to effectively leverage the shipping and fulfillment networks, preventing them from being able to deliver in-demand service such as one-day shipping and participating in specific marketplace programs that would otherwise increase demand in their products.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 greater operating leverage, we are able to continue to prioritize investment in product development, innovation, research and development and go-to-market. This means we can introduce new features and test cutting-edge marketing strategies, supporting even better outcomes for our brand partners and driving results that help us attract new brand partners. By spreading investments across multiple regions and categories, we can experiment with innovations while reducing risk. Successes can then be scaled across our entire portfolio.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to Our Ecosystem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drives demonstrable value across the ecommerce ecosystem: consumers, brand partners and marketplaces.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00"/>
          </w:cols>
          <w:pgMar w:left="320" w:top="117"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to Consumers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consistent and efficient experience for consumers across all ecommerce channels that we operate in.</w:t>
      </w:r>
    </w:p>
    <w:p>
      <w:pPr>
        <w:spacing w:after="0" w:line="171"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follow our brand partners’ brand policies, consumers can trust that they are purchasing authentic products.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ranked on price competitiveness across marketplaces and offering quick response times to customers, we have a 4.9/5.0 seller rating with over 500 thousand ratings and our response time averages 2.4x better than industry averages on Amazon.</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effective inventory and logistics management, we ensure products are available and delivered quickly and efficiently into marketplaces, enabling fast shipping to consumers.</w:t>
      </w:r>
    </w:p>
    <w:p>
      <w:pPr>
        <w:spacing w:after="0" w:line="104" w:lineRule="exact"/>
        <w:rPr>
          <w:rFonts w:ascii="Times New Roman" w:cs="Times New Roman" w:eastAsia="Times New Roman" w:hAnsi="Times New Roman"/>
          <w:sz w:val="18"/>
          <w:szCs w:val="18"/>
          <w:color w:val="auto"/>
        </w:rPr>
      </w:pPr>
    </w:p>
    <w:p>
      <w:pPr>
        <w:ind w:left="660" w:right="400" w:hanging="328"/>
        <w:spacing w:after="0" w:line="230"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order defect rate and a high in-stock rate builds trust and satisfaction with customers, with our buyer dissatisfaction</w:t>
      </w:r>
      <w:r>
        <w:rPr>
          <w:rFonts w:ascii="Times New Roman" w:cs="Times New Roman" w:eastAsia="Times New Roman" w:hAnsi="Times New Roman"/>
          <w:sz w:val="23"/>
          <w:szCs w:val="23"/>
          <w:color w:val="auto"/>
          <w:vertAlign w:val="superscript"/>
        </w:rPr>
        <w:t>27</w:t>
      </w:r>
      <w:r>
        <w:rPr>
          <w:rFonts w:ascii="Times New Roman" w:cs="Times New Roman" w:eastAsia="Times New Roman" w:hAnsi="Times New Roman"/>
          <w:sz w:val="18"/>
          <w:szCs w:val="18"/>
          <w:color w:val="auto"/>
        </w:rPr>
        <w:t xml:space="preserve"> rate more than 10x lower than the industry average.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to Brand Partners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Whereas traditional marketplace agencies and technology providers charge fees, retainers and percentages of advertising spend, Pattern’s brand partners benefit from a highly symbiotic business model where our revenue is directly tied to the sales of our brand partners’ products. The more we sell to the customers, the more we buy from our brand partners.</w:t>
      </w:r>
    </w:p>
    <w:p>
      <w:pPr>
        <w:spacing w:after="0" w:line="122" w:lineRule="exact"/>
        <w:rPr>
          <w:sz w:val="20"/>
          <w:szCs w:val="20"/>
          <w:color w:val="auto"/>
        </w:rPr>
      </w:pPr>
    </w:p>
    <w:p>
      <w:pPr>
        <w:ind w:left="660" w:right="60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our integrated end-to-end technology stack to help our brand partners solve the complex ecommerce equation, driving increased consumer sales.</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technology collects more than 100 billion new data points weekly on average, creating a rich data source that brand partners cannot access from any other competitor or technology product.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89" w:lineRule="auto"/>
        <w:tabs>
          <w:tab w:leader="none" w:pos="65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utilize our database to power our analytics technology, helping our brand partners to identify growth opportunities, including new customer acquisition, product development and global expansion. For example, every day we run a list of branded keywords across every geography we operate in, compare their GMVs and analyze the search frequency to identify potential geographies our brand partners can expand to.</w:t>
      </w:r>
    </w:p>
    <w:p>
      <w:pPr>
        <w:spacing w:after="0" w:line="103"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experts provide tailored strategies across marketing, fulfillment, customer service and inventory management on a global level.</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protect our brand partners’ reputation and brand integrity by continuously monitoring and identifying unauthorized sellers and counterfeit products and abiding by their brand guidelines.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to Marketplaces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Marketplaces on which we operate benefit from both the more positive consumer experience we offer, as well as the accelerated consumer sales growth that our platform enables. Given our reputation for positive consumer experience and breadth of product selection, we receive inbound requests from marketplaces such as Walmart and Temu interested in working with Pattern as they expand their third-party offerings.</w:t>
      </w:r>
    </w:p>
    <w:p>
      <w:pPr>
        <w:spacing w:after="0" w:line="122" w:lineRule="exact"/>
        <w:rPr>
          <w:sz w:val="20"/>
          <w:szCs w:val="20"/>
          <w:color w:val="auto"/>
        </w:rPr>
      </w:pPr>
    </w:p>
    <w:p>
      <w:pPr>
        <w:ind w:left="660" w:right="8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help marketplaces diversify product selection by enabling brand partners to easily launch and scale their products in new channels through the utilization of our technology and comprehensive support.</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leverage our expertise and track record to provide feedback and share insights with marketplaces, helping them fine tune their technology and customer and seller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263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3"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Buyer dissatisfaction tracks the total number of "No" responses to the survey question, "Did this solve your problem?" divided by the total number of surveys sent to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34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help drive advertising spend on marketplaces. Our technology brand gives partners better actionable insights into how to best engage with consumers, which gives them confidence to invest into advertising on marketplaces.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Through end-to-end data, technology and expertise, we create a streamlined and effective ecommerce experience that fosters growth, trust and satisfaction across relevant stakeholders.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2"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18"/>
          <w:szCs w:val="18"/>
          <w:color w:val="auto"/>
        </w:rPr>
        <w:t>Pattern operates within the expansive, approximately $4 trillion global ecommerce market,</w:t>
      </w:r>
      <w:r>
        <w:rPr>
          <w:rFonts w:ascii="Times New Roman" w:cs="Times New Roman" w:eastAsia="Times New Roman" w:hAnsi="Times New Roman"/>
          <w:sz w:val="23"/>
          <w:szCs w:val="23"/>
          <w:color w:val="auto"/>
          <w:vertAlign w:val="superscript"/>
        </w:rPr>
        <w:t>28</w:t>
      </w:r>
      <w:r>
        <w:rPr>
          <w:rFonts w:ascii="Times New Roman" w:cs="Times New Roman" w:eastAsia="Times New Roman" w:hAnsi="Times New Roman"/>
          <w:sz w:val="18"/>
          <w:szCs w:val="18"/>
          <w:color w:val="auto"/>
        </w:rPr>
        <w:t xml:space="preserve"> a sector characterized by its large scale and the increasing number of consumers shopping online. Ecommerce stands as the fastest-growing retail channel worldwide, with projected annual sales volume increases exceeding $490 billion and a projected CAGR of 9.5% from 2025 to 2029.</w:t>
      </w:r>
      <w:r>
        <w:rPr>
          <w:rFonts w:ascii="Times New Roman" w:cs="Times New Roman" w:eastAsia="Times New Roman" w:hAnsi="Times New Roman"/>
          <w:sz w:val="23"/>
          <w:szCs w:val="23"/>
          <w:color w:val="auto"/>
          <w:vertAlign w:val="superscript"/>
        </w:rPr>
        <w:t>28</w:t>
      </w:r>
      <w:r>
        <w:rPr>
          <w:rFonts w:ascii="Times New Roman" w:cs="Times New Roman" w:eastAsia="Times New Roman" w:hAnsi="Times New Roman"/>
          <w:sz w:val="18"/>
          <w:szCs w:val="18"/>
          <w:color w:val="auto"/>
        </w:rPr>
        <w:t xml:space="preserve"> This market is ripe for innovation, as many traditional retailers, having not fully embraced the transition to online, are unable to provide personalized and data-driven shopping experiences.</w:t>
      </w:r>
    </w:p>
    <w:p>
      <w:pPr>
        <w:spacing w:after="0" w:line="14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As of 2024, the global ecommerce sector is estimated to have a penetration rate of 22%.</w:t>
      </w:r>
      <w:r>
        <w:rPr>
          <w:rFonts w:ascii="Times New Roman" w:cs="Times New Roman" w:eastAsia="Times New Roman" w:hAnsi="Times New Roman"/>
          <w:sz w:val="23"/>
          <w:szCs w:val="23"/>
          <w:color w:val="auto"/>
          <w:vertAlign w:val="superscript"/>
        </w:rPr>
        <w:t>28</w:t>
      </w:r>
      <w:r>
        <w:rPr>
          <w:rFonts w:ascii="Times New Roman" w:cs="Times New Roman" w:eastAsia="Times New Roman" w:hAnsi="Times New Roman"/>
          <w:sz w:val="18"/>
          <w:szCs w:val="18"/>
          <w:color w:val="auto"/>
        </w:rPr>
        <w:t xml:space="preserve"> We believe that several of our core categories, including health and wellness and beauty and home goods, are currently under-penetrated. In the United States, ecommerce penetration for similar categories is estimated to range from 20% to 40% as of 2024, whereas more mature ecommerce categories, such as books, music and video, have penetration rates approaching</w:t>
      </w:r>
    </w:p>
    <w:p>
      <w:pPr>
        <w:spacing w:after="0" w:line="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70%.</w:t>
      </w:r>
      <w:r>
        <w:rPr>
          <w:rFonts w:ascii="Times New Roman" w:cs="Times New Roman" w:eastAsia="Times New Roman" w:hAnsi="Times New Roman"/>
          <w:sz w:val="23"/>
          <w:szCs w:val="23"/>
          <w:color w:val="auto"/>
          <w:vertAlign w:val="superscript"/>
        </w:rPr>
        <w:t>29</w:t>
      </w:r>
      <w:r>
        <w:rPr>
          <w:rFonts w:ascii="Times New Roman" w:cs="Times New Roman" w:eastAsia="Times New Roman" w:hAnsi="Times New Roman"/>
          <w:sz w:val="18"/>
          <w:szCs w:val="18"/>
          <w:color w:val="auto"/>
        </w:rPr>
        <w:t xml:space="preserve"> Looking ahead, our core categories are forecasted to reach penetration rates of 30% to 50% by 2028 in the United States.</w:t>
      </w:r>
      <w:r>
        <w:rPr>
          <w:rFonts w:ascii="Times New Roman" w:cs="Times New Roman" w:eastAsia="Times New Roman" w:hAnsi="Times New Roman"/>
          <w:sz w:val="23"/>
          <w:szCs w:val="23"/>
          <w:color w:val="auto"/>
          <w:vertAlign w:val="superscript"/>
        </w:rPr>
        <w:t>29</w:t>
      </w:r>
      <w:r>
        <w:rPr>
          <w:rFonts w:ascii="Times New Roman" w:cs="Times New Roman" w:eastAsia="Times New Roman" w:hAnsi="Times New Roman"/>
          <w:sz w:val="18"/>
          <w:szCs w:val="18"/>
          <w:color w:val="auto"/>
        </w:rPr>
        <w:t xml:space="preserve"> Historically, shifts in penetration rates have been a major driver of ecommerce growth, and we anticipate that this trend will continue to provide significant momentum for our business.</w:t>
      </w:r>
    </w:p>
    <w:p>
      <w:pPr>
        <w:spacing w:after="0" w:line="14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we explore opportunities to expand our presence in global ecommerce marketplaces, we have identified additional retail brands that we believe can potentially benefit from our platform. We estimate that these brands represent a GMV of approximately $400 billion annually. This estimate is comprised of brands that currently have products offered on marketplaces in the geographies where we operate and includes the products these brands sell on those marketplaces. By leveraging third-party data sources, we aggregate ASIN-level product and pricing information for brands that we believe meet criteria that would make them attractive potential brand partners. Our focus is on brand size, potential unit economics, pricing and sales optimization, SKU concentration and inventory risk and complexity. While there can be no assurance that we will pursue, engage or enter into agreements with any of these brands, we believe there is significant potential to increase our sales through partnerships with new brand partners and to expand our relationships with existing brand partners. Our scale, technology and expertise deliver value to brands across marketplaces and regions. We believe we are in the early stages of capturing our market opportunity and hold a distinct competitive advantage through our data-driven approach.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with our Existing Brand Partners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One of our core priorities is retaining and growing our revenue attributable to existing brand partners through continued optimization of the ecommerce equation. We have strong and long-lasting brand partner relationships. For the year ended December 31, 2024, approximately 87% of our revenue was attributable to existing brand partners, and more than 48% of our revenue was attributable to brand partners that have been with Pattern for more than five years. For the year ended December 31, 2024, our NRR was 116%. See the section titled “Management’s Discussion and Analysis of Financial Condition and Results of Operations—Key Business Metric and Non-GAAP Financial Measure” for information on how we define and calculate NRR. We plan to continue to increase our revenue by optimizing the ecommerce equation to increase our brand partners’ revenue – optimizing product listings, keywords and advertising strategies to increase visibility and conversion.</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will also continue to grow by expanding our product selection from each brand partner. As we demonstrate our value to our brand partners, they often entrust us with a growing proportion of their products, which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263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3" w:lineRule="exact"/>
        <w:rPr>
          <w:sz w:val="20"/>
          <w:szCs w:val="20"/>
          <w:color w:val="auto"/>
        </w:rPr>
      </w:pPr>
    </w:p>
    <w:p>
      <w:pPr>
        <w:ind w:left="380" w:hanging="372"/>
        <w:spacing w:after="0"/>
        <w:tabs>
          <w:tab w:leader="none" w:pos="380" w:val="left"/>
        </w:tabs>
        <w:numPr>
          <w:ilvl w:val="0"/>
          <w:numId w:val="8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Euromonitor International Passport: Retail, 2025 edition, US$, fixed 2024 exchange rate, current terms.</w:t>
      </w:r>
    </w:p>
    <w:p>
      <w:pPr>
        <w:spacing w:after="0" w:line="29" w:lineRule="exact"/>
        <w:rPr>
          <w:rFonts w:ascii="Times New Roman" w:cs="Times New Roman" w:eastAsia="Times New Roman" w:hAnsi="Times New Roman"/>
          <w:sz w:val="9"/>
          <w:szCs w:val="9"/>
          <w:color w:val="auto"/>
        </w:rPr>
      </w:pPr>
    </w:p>
    <w:p>
      <w:pPr>
        <w:ind w:left="380" w:hanging="372"/>
        <w:spacing w:after="0" w:line="192" w:lineRule="auto"/>
        <w:tabs>
          <w:tab w:leader="none" w:pos="380" w:val="left"/>
        </w:tabs>
        <w:numPr>
          <w:ilvl w:val="0"/>
          <w:numId w:val="8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eMarketer, US Ecommerce by Category 2024: A Slowdown in Growth Reshapes the Landscape – February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00"/>
          </w:cols>
          <w:pgMar w:left="320" w:top="117"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strengthens our relationship and contributes to our growth. By deepening our relationships with our existing brand partners, we help them achieve greater sales and efficiency, which in turn drives our own growth.</w:t>
      </w:r>
    </w:p>
    <w:p>
      <w:pPr>
        <w:spacing w:after="0" w:line="10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also help brand partners diversify across marketplaces, increasing their reach and resilience against market fluctuations. We partner with over 60 brands for which we sell products on five or more marketplaces—three times the number of brands since 2022. Additionally, the number of brand partners for which we sell products in more than two countries has doubled since 2022. We believe international marketplaces represent a significant growth opportunity in addition to domestic marketplaces.</w:t>
      </w:r>
      <w:r>
        <w:rPr>
          <w:rFonts w:ascii="Times New Roman" w:cs="Times New Roman" w:eastAsia="Times New Roman" w:hAnsi="Times New Roman"/>
          <w:sz w:val="23"/>
          <w:szCs w:val="23"/>
          <w:color w:val="auto"/>
          <w:vertAlign w:val="superscript"/>
        </w:rPr>
        <w:t>30</w:t>
      </w:r>
      <w:r>
        <w:rPr>
          <w:rFonts w:ascii="Times New Roman" w:cs="Times New Roman" w:eastAsia="Times New Roman" w:hAnsi="Times New Roman"/>
          <w:sz w:val="18"/>
          <w:szCs w:val="18"/>
          <w:color w:val="auto"/>
        </w:rPr>
        <w:t xml:space="preserve"> For brand partners ready to expand internationally, we support entry into new global markets by providing localized strategies that consider cultural differences, language and local consumer behavior.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New Brand Partners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also grow by signing new brand partners to our platform. We target brand partners with a proven track record of selling highly rated products, a loyal customer base and growth potential, assessed through our proprietary scorecard. Using our extensive data, we identify potential brand partners and our sales team efficiently markets to and signs new brand partners. The process involves thorough research, collaboration, clear communication and an emphasis on building long-term, mutually beneficial relationships. We utilize our strong track record of execution with current brand partners and reputation as a leading ecommerce accelerator to attract new brand partners looking for proven expertise in scaling online sales. Satisfied brand partners often lead to referrals and increased visibility within their industry, creating a positive cycle that helps us attract even more brand partners.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and Expand our Platform</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Continuing to innovate and expand the breadth and quality of our platform enhances our value to our brand partners, differentiates ourselves in the ecommerce accelerator space and meets evolving market demands. We believe the investments we have made in research and development to build our technology have been a core differentiator of our EXP, and we will continue to focus on increasing our data set and creating new proprietary AI-powered solutions.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a part of our technological advancement, we plan to enhance and integrate our existing solutions into current and new ecommerce marketplaces. Our ability to understand and optimize each lever of the ecommerce equation is essential and we continuously invest in our analytic technology to deliver actionable insights and strengthen our advertising capabilities to help our brand partners drive profitable growth.</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strength of our platform is core to driving differentiated growth and we will continue to be thoughtful in weighing organic growth, partnerships, investments and acquisitions to expand our solutions.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Monetize Incremental Solutions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Due to the strength of each element of our platform and the unique space we occupy at the intersection of brands and marketplaces, we will continue to evaluate the potential to monetize discrete components of the value chain and to diversify our revenue mix.</w:t>
      </w:r>
    </w:p>
    <w:p>
      <w:pPr>
        <w:spacing w:after="0" w:line="104" w:lineRule="exact"/>
        <w:rPr>
          <w:sz w:val="20"/>
          <w:szCs w:val="20"/>
          <w:color w:val="auto"/>
        </w:rPr>
      </w:pPr>
    </w:p>
    <w:p>
      <w:pPr>
        <w:ind w:left="660" w:right="180" w:hanging="328"/>
        <w:spacing w:after="0" w:line="268"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Software-as-a-Service: </w:t>
      </w:r>
      <w:r>
        <w:rPr>
          <w:rFonts w:ascii="Times New Roman" w:cs="Times New Roman" w:eastAsia="Times New Roman" w:hAnsi="Times New Roman"/>
          <w:sz w:val="18"/>
          <w:szCs w:val="18"/>
          <w:color w:val="auto"/>
        </w:rPr>
        <w:t>We are committed to enhancing our SaaS capabilities with a particular focus on our PXM and Creators solutions.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enable brands to more easily generate optimized content across all ecommerce channels, while also supporting the expanding social commerce sector by providing a centralized platform for recruiting, engaging and managing affiliate marketing campaigns.</w:t>
      </w:r>
    </w:p>
    <w:p>
      <w:pPr>
        <w:spacing w:after="0" w:line="116"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Fulfillment: </w:t>
      </w:r>
      <w:r>
        <w:rPr>
          <w:rFonts w:ascii="Times New Roman" w:cs="Times New Roman" w:eastAsia="Times New Roman" w:hAnsi="Times New Roman"/>
          <w:sz w:val="18"/>
          <w:szCs w:val="18"/>
          <w:color w:val="auto"/>
        </w:rPr>
        <w:t>We are investing in our fulfillment capabilities to accelerate our shipping processes and offer marketplace preparation services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third-party sellers. We are also investing in expanding the reach of our middle mile solution, which we estimate saved up to 50% of shipping costs into marketplaces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22631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6" w:lineRule="exact"/>
        <w:rPr>
          <w:sz w:val="20"/>
          <w:szCs w:val="20"/>
          <w:color w:val="auto"/>
        </w:rPr>
      </w:pPr>
    </w:p>
    <w:p>
      <w:pPr>
        <w:ind w:left="340" w:right="900" w:hanging="332"/>
        <w:spacing w:after="0" w:line="305" w:lineRule="auto"/>
        <w:tabs>
          <w:tab w:leader="none" w:pos="397" w:val="left"/>
        </w:tabs>
        <w:numPr>
          <w:ilvl w:val="0"/>
          <w:numId w:val="8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i w:val="1"/>
          <w:iCs w:val="1"/>
          <w:color w:val="auto"/>
        </w:rPr>
        <w:t>ECDB, ByteDance on the Fast Track With a High Level of Revenue and Strong Growth – January 28, 2025, https://ecommercedb.com/insights/the-top-5-global-ecommerce-companies/5053.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117"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We are dedicated to enhancing our Services solutions, which deliver tailored consulting and design solutions to our brand partners.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Expand into Global Geographies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One of our competitive strengths lies in our global capabilities, and we believe there is a significant opportunity to increase our revenue by further expanding outside the United States. We plan to build on our solutions for our brand partners and to enhance our capabilities in other key regions such as Asia. Ultimately, we hope to be an ecommerce accelerator across all major ecommerce marketplaces across the world.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 Partners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Today, we partner with more than 200 brand partners across different industries and geographies including the Americas, Europe, Australia and Asia. Our current brand partners’ industry presence includes health and wellness, beauty and personal care, home and lifestyle, pet, sports and outdoors and consumer electronics.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the following case studies are examples of how some of our brand partners have benefited from our platform. We have highlighted brand partners of varying size and types across different industries, including health and wellness, home and lifestyle and sports and outdoors. Our brand partners experience different results depending on a number of factors, and these case studies are not necessarily representative of the results achieved by other brand partners of these types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117"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905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139"/>
          </w:cols>
          <w:pgMar w:left="320" w:top="117" w:right="1440"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905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139"/>
          </w:cols>
          <w:pgMar w:left="320" w:top="117" w:right="1440"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905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139"/>
          </w:cols>
          <w:pgMar w:left="320" w:top="117" w:right="1440"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905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139"/>
          </w:cols>
          <w:pgMar w:left="320" w:top="117" w:right="1440"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905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139"/>
          </w:cols>
          <w:pgMar w:left="320" w:top="117" w:right="1440"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2885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offer a range of solutions that leverage our proprietary technology and ecommerce expertise to accelerate revenue growth and profitability for consumer brands in online channels.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flagship, core solution that drives the majority of consumer product sales on our platform is our Global 3P Accelerator. Our Global 3P Accelerator leverages the full breadth of our EXP to optimize traffic, conversion, price and availability across marketplaces and regions. This comprehensive platform includes technology for forecasting, inventory management, listing optimization, advertising automation, a team of dedicated experts to manage day-to-day execution, content creation and customer service, to name a few.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Solutions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and data has enabled us to identify new solutions that are in the early stages of development.</w:t>
      </w:r>
    </w:p>
    <w:p>
      <w:pPr>
        <w:spacing w:after="0" w:line="167" w:lineRule="exact"/>
        <w:rPr>
          <w:sz w:val="20"/>
          <w:szCs w:val="20"/>
          <w:color w:val="auto"/>
        </w:rPr>
      </w:pPr>
    </w:p>
    <w:p>
      <w:pPr>
        <w:ind w:left="660" w:right="40" w:hanging="328"/>
        <w:spacing w:after="0" w:line="268"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1P Accelerator: </w:t>
      </w:r>
      <w:r>
        <w:rPr>
          <w:rFonts w:ascii="Times New Roman" w:cs="Times New Roman" w:eastAsia="Times New Roman" w:hAnsi="Times New Roman"/>
          <w:sz w:val="18"/>
          <w:szCs w:val="18"/>
          <w:color w:val="auto"/>
        </w:rPr>
        <w:t>Similar to our 3P Accelerator offering, our 1P Accelerator allows brands to benefit from our technology, services and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but in this model, Pattern does not purchase any inventory (brands pay platform and services fees, allowing brands to maintain a 1P selling model (selling inventory directly to the marketplace)).</w:t>
      </w:r>
    </w:p>
    <w:p>
      <w:pPr>
        <w:spacing w:after="0" w:line="116" w:lineRule="exact"/>
        <w:rPr>
          <w:rFonts w:ascii="Times New Roman" w:cs="Times New Roman" w:eastAsia="Times New Roman" w:hAnsi="Times New Roman"/>
          <w:sz w:val="18"/>
          <w:szCs w:val="18"/>
          <w:color w:val="auto"/>
        </w:rPr>
      </w:pPr>
    </w:p>
    <w:p>
      <w:pPr>
        <w:ind w:left="660" w:right="120" w:hanging="328"/>
        <w:spacing w:after="0" w:line="268"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Software-as-a-Service: </w:t>
      </w:r>
      <w:r>
        <w:rPr>
          <w:rFonts w:ascii="Times New Roman" w:cs="Times New Roman" w:eastAsia="Times New Roman" w:hAnsi="Times New Roman"/>
          <w:sz w:val="18"/>
          <w:szCs w:val="18"/>
          <w:color w:val="auto"/>
        </w:rPr>
        <w:t>We offer PXM and Creators as a standalone service. PXM is our product experience management software that allows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brands to seamlessly create optimized brand content across every ecommerce channel, including integrated PIM and DAM. Creators is a solution that offers brands a central place to recruit, engage and manage their affiliate marketing campaigns.</w:t>
      </w:r>
    </w:p>
    <w:p>
      <w:pPr>
        <w:spacing w:after="0" w:line="116" w:lineRule="exact"/>
        <w:rPr>
          <w:rFonts w:ascii="Times New Roman" w:cs="Times New Roman" w:eastAsia="Times New Roman" w:hAnsi="Times New Roman"/>
          <w:sz w:val="18"/>
          <w:szCs w:val="18"/>
          <w:color w:val="auto"/>
        </w:rPr>
      </w:pPr>
    </w:p>
    <w:p>
      <w:pPr>
        <w:ind w:left="660" w:right="280" w:hanging="328"/>
        <w:spacing w:after="0" w:line="28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Fulfillment: </w:t>
      </w:r>
      <w:r>
        <w:rPr>
          <w:rFonts w:ascii="Times New Roman" w:cs="Times New Roman" w:eastAsia="Times New Roman" w:hAnsi="Times New Roman"/>
          <w:sz w:val="18"/>
          <w:szCs w:val="18"/>
          <w:color w:val="auto"/>
        </w:rPr>
        <w:t>Our fulfillment services include Marketplace Prep, helping brands prepare and ship their products to marketplaces and DTC.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streamlines brands’ direct fulfillment operations and middle mile, helping sellers save on inbound shipping.</w:t>
      </w:r>
    </w:p>
    <w:p>
      <w:pPr>
        <w:spacing w:after="0" w:line="100"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We offer bespoke consulting services to provide market share insights and category analysis and design services to provide packaging,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design and prototyping expertise.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Inventory Management and Warehouse Operations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Pattern’s inventory management strategy is critical to its success in delivering optimal inventory levels while keeping products in-stock across multiple platforms, marketplaces and physical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3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the strongest inventory management execution requires world-class people developing sustainable processes and building scalable technology to deliver the correct amount of inventory, at the right time, in the right place. Our investment in experienced inventory management resources and technology has positioned Pattern to develop more accurate forecasts and, coupled with a dynamic and robust warehouse operations network, quickly recover when forecasts and market dynamics shift.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Forecasting</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forecasting is anchored on a series of proprietary, data-science-driven models that analyze and explain historical trends to model the precise expected future performance of a specific product. The model, combined with our large repository of data and our close relationships with brand partners, enables us to optimize inventory levels based on consumer demand, expected promotional efforts and shifts in marketplace dynamics, attributes which are impossible to predict without expertise and knowledge of future initiatives resulting from joint planning with our brands. As a testament to our efficient inventory management, our weighted average inventory write-off as a percentage of our revenue has been less than 0.2% over the last three years, and in 2024, our inventory turnover ratio was 4.5x and our North American in-stock rate was 96%.</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Inputs to forecasting algorithms include proprietary insights from historical sales, current price competitiveness of our offers on specific marketplaces, current inventory pipelines, total supply chain lead times for specific SKUs, seasonality, promotional periods, advertising spend, off-platform brand awareness campaigns, category trends and overall market dynamics. The technology handles the complexity of calculating and tracking the trends, enabling trained forecasting professionals to make the best buying decisions for Pattern.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Purchasing Mechanics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purchasing cadence and transparent buying mechanisms are built to reduce risk for our brand partners and for Pattern. Consistent, weekly purchasing for the majority of brand partners’ products ensures we have the ability to quickly optimize inventory levels to reduce out-of-stock risk and overbuying scenarios.</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Passing through our cross-dock facilities, leveraging our scale and utilizing our custom integrations with marketplaces makes our brand partners’ products available to customers in days, compared to weeks or months for the average seller. This execution enables us to be more efficient and responsive to demand changes while maintaining lower overall inventory levels.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Warehouse Operations and Logistics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leverage existing, third-party transportation networks to execute the deliveries to destinations around the world, whether that is on a customer’s doorstep or to an ecommerce marketplace distribution center. At the same time, we focus on investing in the part of the supply chain that is high-tech and capital light.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investment in automation in our warehouse network has consistently been focused on software within the warehouse while using repeatable and widely available hardware solutions, such as automated conveyance, to execute the manual work the software is guiding it to do.</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Pattern’s investment and execution in its worldwide fulfillment network is one of our major differentiators. The speed through our network and a short overall supply chain keeps us nimble and efficient – and our scale enables us to reduce variable expenses while leveraging our fixed costs.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proprietary WMS powers the operators in our warehouse network to deliver efficient and scalable volume to marketplaces and, in some cases, directly to consumers across the globe. By leveraging hardware and software automation, we optimize inventory flow to ship more products into global ecommerce marketplaces than any other operation in the world. Our modular, flow-based configuration reduces costs and increases flexibility, which we believe has prepared us for many years of future growth without significant further investment in warehouse space.</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WMS built by Pattern utilizes marketplace and carrier integrations to deliver all aspects of our requirements in a way that other warehouse software currently does not address–making our WMS a key investment for us. Delivering marketplace item preparation and shipment creation, direct to consumer fulfillment, reverse logistics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3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capabilities, storage and inventory movement and leveraging third-party transportation integrations–the WMS is a robust, comprehensive solution that we believe is unique amongst our competitors. It also features multi-lingual support so the same software can be used in all Pattern-operated facilities worldwide.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sales and marketing strategy and investments are informed by our comprehensive ecommerce data set, which we use to identify a highly targeted set of prospective brand partners that are a strong fit for our EXP and mutually beneficial partnership model. We start by creating a personalized, data-driven marketplace performance scorecard for each target brand to assess performance across the ecommerce equation (revenue = traffic x conversion x price x availability) on a given marketplace, such as Amazon, Walmart, TMall and TikTok Shop. This scorecard includes 20 different quantitative metrics such as branded and non-branded traffic, retail readiness, ratings and reviews, pricing stability and compliance, in-stock availability, channel control and international availability. This scorecard and data forms the basis of our outreach and marketing messages to our target brand personnel and helps us remain knowledgeable, helpful, present and personalized as we engage with key accounts.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highly efficient sales organization, with global named account managers who build and maintain deep relationships with target brands throughout the customer lifecycle, supported by inside sales representatives who nurture target accounts and key contacts, product support specialists who offer product-specific expertise for multi-product deals and have their own mid-market target accounts and business development, responsible for building relationships with industry organizations and referral partners including law firms, venture capital and private equity firms, former executives of top brands and industry thought leaders.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sales organization is also supported by a global, full-funnel, in-house marketing team that is organized into five primary functions: Creative and Brand, Public Relations and Communications, Product Marketing, Digital Demand Generation and Events. Our awareness and demand generation content and programs leverage our data, insights and in-house experts to demonstrate our deep understanding of the ecommerce pain points that brands face as well as our leadership in solving these challenges in innovative ways. We complement our upper-funnel digital marketing efforts with a robust calendar of live events that offer brands bespoke opportunities to engage with our executives and functional experts, ranging from curated executive retreats to our annual Accelerate conference, which attracts more than 1,500 ecommerce professionals for two full days of learning, networking and inspiration. Social proof is also central to our marketing programs, as we leverage our engaged brand partner community across digital and physical properties, including customer case studies, testimonials and references.</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Currently, we have over 150 global sales and marketing employees with in-region presence across North America, Europe, Australia and Asia. We plan to continue to invest in our sales and marketing capabilities to capitalize on our market opportunity, particularly as we launch new solutions within the ecommerce acceleration category.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believe that our relentless focus on technology, data, talent and brand partners has helped us create our industry-defining EXP. However, the ecommerce industry is highly competitive. Brands have a number of options to execute their ecommerce strategy. We view competition as:</w:t>
      </w:r>
    </w:p>
    <w:p>
      <w:pPr>
        <w:spacing w:after="0" w:line="108"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growing their ecommerce business themselves;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technology and service providers focusing on part of the ecommerce equation;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Marketplaces offering a 1P model for brands;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ecommerce accelerators.</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Most other companies that offer alternate solutions only address specific parts of the ecommerce equation and operate on fewer marketplaces or in fewer geographies. For example, ShipBob and ShipHero offer warehouse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3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and logistics efficiency solutions, ReCom offers 3P acceleration services in the United States on Amazon and Spreetail offers 3P acceleration services in the United States and in certain European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compete successfully depends primarily on the following factors:</w:t>
      </w:r>
    </w:p>
    <w:p>
      <w:pPr>
        <w:spacing w:after="0" w:line="171"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advance our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data and AI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attracting brand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launching new platform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provide a holistic suite of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 deep and broad set of marketplaces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global approach;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changing consumer demands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value and reputation of our brand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a team committed to innovation, data and serving our brand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platform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and Culture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Pattern, our people are the driving force behind our mission to accelerate global ecommerce for our brand partners and we believe our team’s talent and expertise is a key competitive advantage. We maintain a meticulous and rigorous hiring process. Each full-time candidate undergoes an in-depth review, personally overseen by our CEO. We conduct comprehensive reference checks, including direct conversations with their previous managers, and these managers consistently rank our candidates among the top 20% of their teams. Our new hires bring substantial experience to the table, with an average of eight years of relevant work history.</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our headquarters in Utah’s Silicon Slopes technology hub to our 15 other offices and 8 distribution centers across Asia, Australia, North America and Europe, our more than 2,100 full-time employees and 400 contractors and other personnel worldwide as of June 30, 2025 create meaningful impact every day for Pattern. Our team works together to realize a singular vision: to accelerate growth for global brand partners by leveraging data-driven insights, relentless brand partner obsession and a bias for action.</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built a culture that prioritizes both impact and the employee experience. Recognized as one of Newsweek’s Global Most Loved Workplaces® and one of Inc.’s Best-Led Companies, Pattern places employees at the heart of our business model, and we are dedicated to a balanced work-life experience for our employees. This dedication is evident in our employee surveys, where the top two responses to what people love most about working here have consistently been: first, “the people,” and second, “work-life balance.” We provide our employees with the fundamentals to thrive: competitive compensation, outstanding benefits, leadership philosophies that empower and the chance to make a tangible impact on our rapidly growing organization. Our employees are the reason why hundreds of brands worldwide trust Pattern to power their ecommerce accelerations.</w:t>
      </w:r>
    </w:p>
    <w:p>
      <w:pPr>
        <w:spacing w:after="0" w:line="133"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Pattern’s culture is deeply interconnected and global. Employees have the opportunity to collaborate with colleagues from across the world and gain exposure to a wide variety of perspectives and experiences. We celebrate our shared values during our annual Values Week. This special event brings together employees worldwide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3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company-sponsored activities, including a synchronized global 5K run. It’s a joyful, energizing way to connect and reinforce our commitment to our values. Values Week includes our annual Innovation Cup, a marquee event where employees from around the globe submit groundbreaking ideas for patentable technology that could drive Pattern forward. We recognize and celebrate our winners, and several innovative patent applications have been born from this competition, showcasing our commitment to innovation.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core values are the compass guiding everything we do:</w:t>
      </w:r>
    </w:p>
    <w:p>
      <w:pPr>
        <w:spacing w:after="0" w:line="167" w:lineRule="exact"/>
        <w:rPr>
          <w:sz w:val="20"/>
          <w:szCs w:val="20"/>
          <w:color w:val="auto"/>
        </w:rPr>
      </w:pPr>
    </w:p>
    <w:p>
      <w:pPr>
        <w:ind w:left="660" w:right="60" w:hanging="328"/>
        <w:spacing w:after="0" w:line="28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Fanatics: </w:t>
      </w:r>
      <w:r>
        <w:rPr>
          <w:rFonts w:ascii="Times New Roman" w:cs="Times New Roman" w:eastAsia="Times New Roman" w:hAnsi="Times New Roman"/>
          <w:sz w:val="18"/>
          <w:szCs w:val="18"/>
          <w:color w:val="auto"/>
        </w:rPr>
        <w:t>We are deeply passionate about data, using it to uncover opportunities, test hypotheses and drive results. Our teams collaborate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turn data into actionable insights, allowing our brand partners to benefit from precise, high-impact solutions.</w:t>
      </w:r>
    </w:p>
    <w:p>
      <w:pPr>
        <w:spacing w:after="0" w:line="100"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Brand Partner Obsessed: </w:t>
      </w:r>
      <w:r>
        <w:rPr>
          <w:rFonts w:ascii="Times New Roman" w:cs="Times New Roman" w:eastAsia="Times New Roman" w:hAnsi="Times New Roman"/>
          <w:sz w:val="18"/>
          <w:szCs w:val="18"/>
          <w:color w:val="auto"/>
        </w:rPr>
        <w:t>Our brand partners’ success is our success. We listen, empathize and commit to exceeding expectations with integrity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responsiveness. Earning and maintaining brand partner trust through excellence is at the core of our philosophy.</w:t>
      </w:r>
    </w:p>
    <w:p>
      <w:pPr>
        <w:spacing w:after="0" w:line="100"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Team of Doers: </w:t>
      </w:r>
      <w:r>
        <w:rPr>
          <w:rFonts w:ascii="Times New Roman" w:cs="Times New Roman" w:eastAsia="Times New Roman" w:hAnsi="Times New Roman"/>
          <w:sz w:val="18"/>
          <w:szCs w:val="18"/>
          <w:color w:val="auto"/>
        </w:rPr>
        <w:t>Action defines us. We embrace challenges with enthusiasm and a spirit of collaboration. Accountable and resilient, our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with urgency and responsibility to overcome obstacles and deliver on our promises.</w:t>
      </w:r>
    </w:p>
    <w:p>
      <w:pPr>
        <w:spacing w:after="0" w:line="100" w:lineRule="exact"/>
        <w:rPr>
          <w:rFonts w:ascii="Times New Roman" w:cs="Times New Roman" w:eastAsia="Times New Roman" w:hAnsi="Times New Roman"/>
          <w:sz w:val="18"/>
          <w:szCs w:val="18"/>
          <w:color w:val="auto"/>
        </w:rPr>
      </w:pPr>
    </w:p>
    <w:p>
      <w:pPr>
        <w:ind w:left="660" w:right="480" w:hanging="328"/>
        <w:spacing w:after="0" w:line="28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Game Changers: </w:t>
      </w:r>
      <w:r>
        <w:rPr>
          <w:rFonts w:ascii="Times New Roman" w:cs="Times New Roman" w:eastAsia="Times New Roman" w:hAnsi="Times New Roman"/>
          <w:sz w:val="18"/>
          <w:szCs w:val="18"/>
          <w:color w:val="auto"/>
        </w:rPr>
        <w:t>We don’t just adapt; we innovate. From disrupting industry norms to discovering new opportunities, we are committed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change. We believe in thinking boldly and pushing boundaries for our company and our brand partners.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company leadership principles complement these values, shaping a culture where team members can thrive and grow. We build winning teams by recruiting top talent and aligning team structures with evolving business needs. We trust and empower, encouraging autonomy and work-life balance while eliminating unnecessary bureaucracy. We accelerate talent by providing continuous learning opportunities and offering top-of-market compensation to attract and retain the best talent. Finally, we value impact over ego, prioritizing outcomes and fostering transparent communication and empathy within our teams.</w:t>
      </w:r>
    </w:p>
    <w:p>
      <w:pPr>
        <w:spacing w:after="0" w:line="1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Pattern has a culture where our people are inspired to innovate, connect and make a difference. By investing in our employees and celebrating their achievements, we make Pattern a great place to work and a leader in shaping the future of global ecommerce.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with any company operating on the internet, we are subject to a growing number of local, national and international laws and regulations. These laws are often complex and unclear, sometimes contradicting other laws, and are frequently changing. Compliance is costly and can require changes to our business practices, along with significant amounts of management time and focus. In addition, regulatory and other legal proceedings in the United States and abroad are increasingly focused on the activities of ecommerce marketplaces as well as sellers and other third parties.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Laws may be interpreted and enforced in different ways in various locations around the world, posing a significant challenge to our global business. For example, federal and state laws in the United States, EU laws and other national laws govern the processing of payments and consumer protection; other laws define and regulate unfair and deceptive trade practices. Still other laws dictate when and how sales or other taxes must be collected. Defamation laws apply online and vary by country. Jurisdictions vary as to how, or whether, existing laws governing areas such as personal privacy and data security, consumer protection or sales and other taxes, among other areas, apply to the internet and ecommerce, and these laws are continually evolving. Related laws may govern the manner in which we store or transfer sensitive information or impose obligations on us in the event of a security breach or an inadvertent disclosure of such information. International jurisdictions impose different, and sometimes more stringent, consumer and privacy protections. In addition, some of these requirements introduce friction into our platform for the promotion and sale of merchandise and may impact the scope and effectiveness of our marketing efforts. Tax regulations in jurisdictions where we do not currently collect taxes may subject us to the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00"/>
          </w:cols>
          <w:pgMar w:left="320" w:top="131" w:right="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collect and remit such taxes or to requirements intended to assist jurisdictions with their tax collection efforts. New legislation or regulations, the application of laws from jurisdictions whose laws do not currently apply to our business, or the application of existing laws and regulations to the internet and ecommerce generally could result in significant additional taxes on our business. Further, we could be subject to fines or other payments for any past failures to comply with these requirements. The continued growth of and demand for ecommerce is likely to result in more laws and regulations that impose additional compliance burdens on ecommerce companies. We are also subject to a broad range of federal, state, local and foreign laws and regulations related to public health and safety, including food safety standards, packaging, labeling, advertising, marketing, shipment, pricing and competition. Additionally, because we operate internationally, we need to comply with various laws associated with doing business outside of the United States, including anti-money laundering, sanctions, anti-corruption and export control laws. See the section titled “Risk Factors—Risks Related to Legal, Regulatory and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are subject to extensive laws and regulations and we may incur material liabilities or costs related to complying with existing or future laws and regulations, and our failure to comply may result in enforcements, penalties, recalls and other adverse 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intellectual property protection for our brand, solutions and proprietary technology, defend and enforce our intellectual property rights,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intellectual property rights. We rely on a combination of patents, copyrights, trademarks, trade secrets, license agreements, confidentiality procedures, non-disclosure agreements, employee disclosure and invention assignment agreements, as well as other legal protections and contractual rights, to establish and protect our core technology and proprietary rights.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Today, we own one issued patent and 28 pending patent applications in the United States and abroad. Our issued patents and pending patent applications generally relate to commerce systems and methods and digital marketplaces. Our issued patent, and any patents granted from our pending patent applications, are expected to expire between 2040 and 2056, without taking potential patent term extensions or adjustments into account. We routinely review our development efforts to assess the existence and patentability of new inventions.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we rely, in part, on trade secrets to protect aspects of our business that are not amenable to, or that we do not consider appropriate for, patent protection. However, trade secrets can be difficult to protect. While we take commercially reasonable steps to protect and maintain our trade secrets, including by entering into confidentiality agreements with our employees, consultants, brand partners and contractors and by maintaining physical security of our premises and physical and electronic security of our information technology systems, such measures may not prove to be adequate and there may not be any available remedies. In addition, our trade secrets may otherwise become known or be independently discovered by competitors or others.</w:t>
      </w:r>
    </w:p>
    <w:p>
      <w:pPr>
        <w:spacing w:after="0" w:line="1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also protect our brand through common law trademark protections and trademark registrations. As of June 30, 2025, we had a total of 14 registered trademarks and 26 pending trademarks in the United States and 38 registered trademarks and 13 pending trademarks in non-U.S. jurisdictions. We also have registered domain names for websites that we use in our business, such as www.pattern.com.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seek to protect our intellectual property rights by requiring our employees and independent contractors who contribute to the development of intellectual property on our behalf to enter into agreements acknowledging that all works or other intellectual property generated or conceived by them on our behalf are our property, and assigning to us all intellectual property rights that they may claim or otherwise have in those works or technology, to the extent allowable under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Lehi, Utah, where we currently lease approximately 90,890 square feet of office space pursuant to a lease agreement and a sublease agreement that expire on June 30, 2027. We lease approximately 259,200 square feet of warehouse space in Hebron, Kentucky pursuant to a lease agreement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20"/>
          </w:cols>
          <w:pgMar w:left="320" w:top="13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expires on February 28, 2027 and approximately 114,400 square feet of warehouse space in North Las Vegas, Nevada pursuant to a lease agreement that expires on February 29, 2032. We lease approximately 7,200 square feet for a certain office and warehouse space in Lehi, Utah from ISERVE INVESTMENTS, LLC, an entity controlled by Melanie Alder, our co-founder, Chief Strategy Officer and Director. See the section titled “Certain Relationships and Related Party Transactions—Other Transactions” for more information. We also lease additional facilities in Europe, Australia and Asia to support our sales and logistics operations.</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suitable to meet our current needs. We intend to expand our facilities or add new facilities as we grow, and we believe that suitable additional or alternative space will be available on commercially reasonable terms as needed to accommodate any such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pending legal proceedings. From time to time, we may be subject to legal proceedings and claims arising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00"/>
          </w:cols>
          <w:pgMar w:left="320" w:top="131"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the date of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r>
      <w:tr>
        <w:trPr>
          <w:trHeight w:val="229"/>
        </w:trPr>
        <w:tc>
          <w:tcPr>
            <w:tcW w:w="41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David Wright</w:t>
            </w:r>
            <w:r>
              <w:rPr>
                <w:rFonts w:ascii="Times New Roman" w:cs="Times New Roman" w:eastAsia="Times New Roman" w:hAnsi="Times New Roman"/>
                <w:sz w:val="23"/>
                <w:szCs w:val="23"/>
                <w:color w:val="auto"/>
                <w:vertAlign w:val="superscript"/>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Co-founder, Chief Executive Officer, Director and Chairperson</w:t>
            </w:r>
          </w:p>
        </w:tc>
      </w:tr>
      <w:tr>
        <w:trPr>
          <w:trHeight w:val="229"/>
        </w:trPr>
        <w:tc>
          <w:tcPr>
            <w:tcW w:w="41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Melanie Alder</w:t>
            </w:r>
            <w:r>
              <w:rPr>
                <w:rFonts w:ascii="Times New Roman" w:cs="Times New Roman" w:eastAsia="Times New Roman" w:hAnsi="Times New Roman"/>
                <w:sz w:val="23"/>
                <w:szCs w:val="23"/>
                <w:color w:val="auto"/>
                <w:vertAlign w:val="superscript"/>
              </w:rPr>
              <w:t>(3)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Co-founder, Chief Strategy Officer and Director</w:t>
            </w:r>
          </w:p>
        </w:tc>
      </w:tr>
      <w:tr>
        <w:trPr>
          <w:trHeight w:val="230"/>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Jason Beesley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r>
      <w:tr>
        <w:trPr>
          <w:trHeight w:val="229"/>
        </w:trPr>
        <w:tc>
          <w:tcPr>
            <w:tcW w:w="41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John Bailey</w:t>
            </w:r>
            <w:r>
              <w:rPr>
                <w:rFonts w:ascii="Times New Roman" w:cs="Times New Roman" w:eastAsia="Times New Roman" w:hAnsi="Times New Roman"/>
                <w:sz w:val="23"/>
                <w:szCs w:val="23"/>
                <w:color w:val="auto"/>
                <w:vertAlign w:val="superscript"/>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1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Daniel Gay</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1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Scott Hilton</w:t>
            </w:r>
            <w:r>
              <w:rPr>
                <w:rFonts w:ascii="Times New Roman" w:cs="Times New Roman" w:eastAsia="Times New Roman" w:hAnsi="Times New Roman"/>
                <w:sz w:val="23"/>
                <w:szCs w:val="23"/>
                <w:color w:val="auto"/>
                <w:vertAlign w:val="superscript"/>
              </w:rPr>
              <w:t>(1)(2)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 Mather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06"/>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Susan Taylor</w:t>
            </w:r>
            <w:r>
              <w:rPr>
                <w:rFonts w:ascii="Times New Roman" w:cs="Times New Roman" w:eastAsia="Times New Roman" w:hAnsi="Times New Roman"/>
                <w:sz w:val="23"/>
                <w:szCs w:val="23"/>
                <w:color w:val="auto"/>
                <w:vertAlign w:val="superscript"/>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4"/>
                <w:szCs w:val="24"/>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of directors and holds office until his or her successor is duly elected and qualified or until his or her earlier resignation or removal. David Wright, our Chief Executive Officer and member of our board of directors, and Melanie Alder, our Chief Strategy Officer and member of our board of directors, are married. Otherwise, no family relationships exist between any of our officers or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Wright </w:t>
      </w:r>
      <w:r>
        <w:rPr>
          <w:rFonts w:ascii="Times New Roman" w:cs="Times New Roman" w:eastAsia="Times New Roman" w:hAnsi="Times New Roman"/>
          <w:sz w:val="18"/>
          <w:szCs w:val="18"/>
          <w:color w:val="auto"/>
        </w:rPr>
        <w:t>is a co-founder of Pattern and has served as our Chief Executive Officer and as a member of our board of directors since our inception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2018. Mr. Wright has served as a member of Pattern Inc.’s board of directors since January 2013. From 2004 to 2015, Mr. Wright held various roles within a large non-profit organization, including director of enterprise information management and database team manager. Mr. Wright holds a Bachelor of Science degree in Accounting and an equivalency certificate for a Bachelor of Science degree in Information Systems Management from Brigham Young University. We believe that Mr. Wright is qualified to serve as a member of our board of directors because of his knowledge of our company and our business, his experience building and leading our company and his perspective into corporate matters as our Chief Executive Officer.</w:t>
      </w:r>
    </w:p>
    <w:p>
      <w:pPr>
        <w:spacing w:after="0" w:line="12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Melanie Alder </w:t>
      </w:r>
      <w:r>
        <w:rPr>
          <w:rFonts w:ascii="Times New Roman" w:cs="Times New Roman" w:eastAsia="Times New Roman" w:hAnsi="Times New Roman"/>
          <w:sz w:val="18"/>
          <w:szCs w:val="18"/>
          <w:color w:val="auto"/>
        </w:rPr>
        <w:t>is a co-founder of Pattern and has served as our Secretary and as a member of our board of directors since our inception in November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Alder has served as a member of Pattern Inc.’s board of directors since January 2013. Ms. Alder served as our Chief Operating Officer from January 2013 to May 2018, Chief Investment Officer from May 2018 to February 2024 and Chief Strategy Officer since February 2024. Ms. Alder holds a Bachelor of Science degree in Family Science from Brigham Young University. We believe that Ms. Alder is qualified to serve as a member of our board of directors because of her knowledge of our company and our business, her experience building and leading our company and her perspective into our operations, strategic planning and revenue growth.</w:t>
      </w:r>
    </w:p>
    <w:p>
      <w:pPr>
        <w:spacing w:after="0" w:line="12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Jason Beesley </w:t>
      </w:r>
      <w:r>
        <w:rPr>
          <w:rFonts w:ascii="Times New Roman" w:cs="Times New Roman" w:eastAsia="Times New Roman" w:hAnsi="Times New Roman"/>
          <w:sz w:val="18"/>
          <w:szCs w:val="18"/>
          <w:color w:val="auto"/>
        </w:rPr>
        <w:t>has served as our Chief Financial Officer since January 2021. From July 2007 to August 2020, Mr. Beesley held various senior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roles at NBCUniversal, Inc., a multinational media and entertainment company, including most recently as chief financial officer of NBCUniversal International.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3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that Mr. Beesley held various finance roles at General Electric. Mr. Beesley holds a Bachelor of Science degree in Economics from Brigham Young University.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John Bailey </w:t>
      </w:r>
      <w:r>
        <w:rPr>
          <w:rFonts w:ascii="Times New Roman" w:cs="Times New Roman" w:eastAsia="Times New Roman" w:hAnsi="Times New Roman"/>
          <w:sz w:val="18"/>
          <w:szCs w:val="18"/>
          <w:color w:val="auto"/>
        </w:rPr>
        <w:t>has served as a member of Pattern’s board of directors since September 2021. Mr. Bailey is the founder of Knox Lane, an investment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the consumer and technology-enabled services sectors, and has served as its managing partner since August 2019. Mr. Bailey previously served as the president and chief financial officer of e.l.f. Beauty, Inc. (NYSE: ELF), a multi-brand beauty company, from August 2015 to March 2019, and served as its lead board member from January 2014 to August 2015. Prior to that, Mr. Bailey served as a partner for TPG Growth, TPG’s middle-market buyout and growth equity arm. Mr. Bailey currently serves and/or has previously served as a director of several portfolio companies of Knox Lane and TPG. Mr. Bailey holds a Bachelor of Business Administration degree in Finance/Accounting from the University of Michigan Business School. Mr. Bailey was appointed to our board of directors pursuant to the right of the holders of our Series B Preferred Stock to designate two members of our board of directors, which right will terminate upon the consummation of this offering. We believe that Mr. Bailey is qualified to serve as a member of our board of directors because of his proven financial and leadership skills and extensive experience in both the consumer products and services and tech-enabled services industries, including executive and director functions at a publicly traded company.</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Daniel Gay </w:t>
      </w:r>
      <w:r>
        <w:rPr>
          <w:rFonts w:ascii="Times New Roman" w:cs="Times New Roman" w:eastAsia="Times New Roman" w:hAnsi="Times New Roman"/>
          <w:sz w:val="18"/>
          <w:szCs w:val="18"/>
          <w:color w:val="auto"/>
        </w:rPr>
        <w:t>has served as a member of Pattern’s board of directors since December 2024. Mr. Gay previously served as a member of Pattern’s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from May 2020 to September 2021. Mr. Gay is a co-founder of KSV Global, an investment firm, and has served as its managing partner since November 2018. Mr. Gay has served as a managing partner of the private investment arm of Kensington Capital Holdings, an investment firm, since March 2012. Mr. Gay currently serves and has previously served as a director of several portfolio companies of KSV Global and Kensington Capital Holdings. Mr. Gay holds a Bachelor of Business Administration degree from the John M. Huntsman School of Business at Utah State University and a Master of Business Administration degree from the F. W. Olin Graduate School of Business at Babson College. Mr. Gay was appointed to our board of directors pursuant to the right of the holders of our Series A Preferred Stock to designate one member of our board of directors, which right will terminate upon the consummation of this offering. We believe that Mr. Gay is qualified to serve as a member of our board of directors because of his extensive business and leadership experience.</w:t>
      </w:r>
    </w:p>
    <w:p>
      <w:pPr>
        <w:spacing w:after="0" w:line="13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Scott Hilton </w:t>
      </w:r>
      <w:r>
        <w:rPr>
          <w:rFonts w:ascii="Times New Roman" w:cs="Times New Roman" w:eastAsia="Times New Roman" w:hAnsi="Times New Roman"/>
          <w:sz w:val="18"/>
          <w:szCs w:val="18"/>
          <w:color w:val="auto"/>
        </w:rPr>
        <w:t>has served as a member of Pattern’s board of directors since January 2023. Mr. Hilton served as the chief executive officer of Wonder,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ecommerce food company, from December 2019 to January 2023. Mr. Hilton served as Walmart’s chief revenue officer of U.S. eCommerce from January 2017 to May 2019 and as chief revenue officer for the ecommerce company Jet.com from July 2014 to January 2017. Mr. Hilton holds a Bachelor of Science degree in Physics and Mathematics from the University of Puget Sound, a Master of Engineering degree in Engineering Physics from Cornell University, and a Master of Business Administration degree from the Wharton School of the University of Pennsylvania. We believe that Mr. Hilton is qualified to serve as a member of our board of directors because of his proven business and leadership skills and extensive experience in the ecommerce and consumer goods industries.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Ann Mather </w:t>
      </w:r>
      <w:r>
        <w:rPr>
          <w:rFonts w:ascii="Times New Roman" w:cs="Times New Roman" w:eastAsia="Times New Roman" w:hAnsi="Times New Roman"/>
          <w:sz w:val="18"/>
          <w:szCs w:val="18"/>
          <w:color w:val="auto"/>
        </w:rPr>
        <w:t>has served as a member of Pattern’s board of directors since June 2025. Ms. Mather has more than 20 years of experience serving as a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in a number of technology and media companies, particularly public companies, overseeing and assessing company performance. Ms. Mather has served as a member of the board of directors of Netflix, Inc. (NASDAQ: NFLX), a streaming media company, since 2010 and has served as a member of the board of directors of Bumble, Inc. (NASDAQ: BMBL), an online dating and social networking company, since March 2020 and as the chair of the board of directors since March 2025. Ms. Mather also serves on the board of directors of Veem Inc., a payment service provider, Color Health, Inc., an essential healthcare service provider, Aible, Inc., an enterprise AI solutions provider, and Genesys Inc., a software company. Ms. Mather previously served on the board of directors of Shutterfly, Inc., a photography and image-sharing company from 2013 to 2019, Glu Mobile Inc. (NASDAQ: GLUU), a publisher of mobile games from 2005 to 2021, Airbnb, Inc. (NASDAQ: ABNB), a vacation rental online marketplace company from 2018 to 2021, Arista Networks, Inc. (NYSE: ANET), a computer networking company from 2013 to 2022, Alphabet Inc. (NASDAQ: GOOG) from 2005 to 2023 and Blend Labs, Inc. (NYSE: BLND), a financial services software company, from 2019 to 2024. She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3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also been an independent trustee to the board of trustees of Dodge &amp; Cox Funds, a mutual fund, since May 2011. From September 1999 to April 2004, Ms. Mather was executive vice president and chief financial officer of Pixar, a computer animation film studio. Prior to her service at Pixar, she was executive vice president and chief financial officer of Village Roadshow Pictures, the film production division of Village Roadshow Limited. Ms. Mather holds a Master of Arts degree from the University of Cambridge, is an honorary fellow of Sidney Sussex College, Cambridge, and is a chartered accountant. We believe that Ms. Mather is qualified to serve as a member of our board of directors because of her extensive leadership experience at publicly traded companies.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Susan Taylor </w:t>
      </w:r>
      <w:r>
        <w:rPr>
          <w:rFonts w:ascii="Times New Roman" w:cs="Times New Roman" w:eastAsia="Times New Roman" w:hAnsi="Times New Roman"/>
          <w:sz w:val="18"/>
          <w:szCs w:val="18"/>
          <w:color w:val="auto"/>
        </w:rPr>
        <w:t>has served as a member of Pattern’s board of directors since May 2025. Ms. Taylor previously served as chief accounting officer of Meta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Inc., a social media and technology company, from April 2017 until June 2023. From 2012 to 2017, Ms. Taylor served as vice president, controller and chief accounting officer of LinkedIn Corporation, a professional social networking company. From 2009 to 2012, Ms. Taylor served as the vice president, controller and chief accounting officer of Silver Spring Networks, Inc., a provider of networking solutions, and from 2008 to 2009, Ms. Taylor served as the senior director, accounting policy of Yahoo! Inc. (“Yahoo!”). Prior to Yahoo!, Ms. Taylor spent over thirteen years at PricewaterhouseCoopers, an accounting firm, in various accounting roles. Ms. Taylor holds a Bachelor of Commerce degree from the University of Toronto and is a Certified Public Accountant (inactive) in California. We believe that Ms. Taylor is qualified to serve as a member of our board of directors because of her extensive financial experience and leadership functions at publicly traded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board of directors have adopted a code of conduct that applies to all of our employees, officers and directors, including our Chief Executive Officer, Chief Financial Officer and other executive and senior financial officers. The full text of our code of business conduct will be posted on the investor relations page on our website upon the completion of this offering. We intend to disclose any amendments to our code of conduct, or waivers of its requirements, on our website or in filings under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 prior to the completion of this offering. Our board of directors consists of seven directors, five of whom will qualify as “independent” under the corporate governance requirements of Nasdaq.</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26" w:lineRule="exact"/>
        <w:rPr>
          <w:sz w:val="20"/>
          <w:szCs w:val="20"/>
          <w:color w:val="auto"/>
        </w:rPr>
      </w:pPr>
    </w:p>
    <w:p>
      <w:pPr>
        <w:ind w:left="660" w:right="2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Messrs. Gay and Hilton and Ms. Mather, and their terms will expire at the annual meeting of stockholders to be held in 2026;</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Mr. Bailey and Ms. Taylor, and their terms will expire at the annual meeting of stockholders to be held in 2027;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Mr. Wright and Ms. Alder, and their terms will expire at the annual meeting of stockholders to be held in 2028.</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3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180"/>
        <w:spacing w:after="0" w:line="438" w:lineRule="auto"/>
        <w:rPr>
          <w:sz w:val="20"/>
          <w:szCs w:val="20"/>
          <w:color w:val="auto"/>
        </w:rPr>
      </w:pPr>
      <w:r>
        <w:rPr>
          <w:rFonts w:ascii="Times New Roman" w:cs="Times New Roman" w:eastAsia="Times New Roman" w:hAnsi="Times New Roman"/>
          <w:sz w:val="18"/>
          <w:szCs w:val="18"/>
          <w:color w:val="auto"/>
        </w:rPr>
        <w:t xml:space="preserve">This classification of our board of directors may have the effect of delaying or preventing changes in control of our company. </w:t>
      </w:r>
      <w:r>
        <w:rPr>
          <w:rFonts w:ascii="Times New Roman" w:cs="Times New Roman" w:eastAsia="Times New Roman" w:hAnsi="Times New Roman"/>
          <w:sz w:val="18"/>
          <w:szCs w:val="18"/>
          <w:b w:val="1"/>
          <w:bCs w:val="1"/>
          <w:color w:val="auto"/>
        </w:rPr>
        <w:t>Director Independence</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each of Messrs. Gay, Bailey and Hilton and Mses. Taylor and Mather does not have a relationship that would interfere with the exercise of independent judgment in carrying out the responsibilities of a director and that each of these directors is “independent” as that term is defined under the applicable rules and regulations of the SEC and the corporate governance requirements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Our board of directors has appointed Mr. Bailey to serve as our lead independent director.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After the consummation of the offering, we will be considered a “controlled company” under the corporate governance requirements of Nasdaq, as our co-founders will collectively have more than 50% of the voting power for the election of directors. See the section titled “Principal and Selling Stockholders” for additional information. As a “controlled company,” we will not be subject to certain corporate governance requirements, including that: (i) a majority of our board of directors consists of “independent directors,” as defined under the corporate governance requirements of Nasdaq; (ii) we have a nominating and corporate governance committee that is composed entirely of independent directors with a written charter addressing the committee’s purpose and responsibilities, or if no such committee exists, that our director nominees be selected or recommended by independent directors constituting a majority of the board of director’s independent directors in a vote in which only independent directors participate; (iii) we have a compensation committee that is composed entirely of independent directors with a written charter addressing the committee’s purpose and responsibilities; and (iv) we perform annual performance evaluations of the nominating and corporate governance and compensation committees. As a result, we may not have a majority of independent directors on our board of directors, an entirely independent nominating and corporate governance committee, an entirely independent compensation committee or perform annual performance evaluations of the nominating and corporate governance and compensation committees unless and until such time as we are required to do so. We expect to have five independent directors upon the closing of this offering, all of whom will qualify as independent for audit committee purposes. Following this offering, we intend to utilize certain of these exemptions. We do not expect that the nominating and corporate governance committee will consist entirely of independent directors upon the consummation of the offering.</w:t>
      </w:r>
    </w:p>
    <w:p>
      <w:pPr>
        <w:spacing w:after="0" w:line="1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co-founders collectively continue to control more than 50% of the voting power of our outstanding common stock, we qualify for, and may rely on, these exemptions. Accordingly, you will not have the same protections afforded to stockholders of companies that are subject to all of the corporate governance requirements of Nasdaq.</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event we cease to be a “controlled company” and our shares continue to be listed on Nasdaq, we will be required to comply with these provisions within the applicable transition periods. See the section titled “Risk Factors—Risks Related to Our Corporate Structure—We are a “controlled company” under the corporate governance requirements of Nasdaq, and intend to avail ourselves of certain reduced corporate governance requirements”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and may establish other committees from time to time. The composition and responsibilities of each of the committees of our board of directors is described below. Members will serve on these committees until their resignation or until as otherwise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20"/>
          </w:cols>
          <w:pgMar w:left="320" w:top="131"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Messrs. Gay and Hilton and Ms. Taylor, with Ms. Taylor serving as chair. The composition of our audit committee meets the requirements for independence under the corporate governance requirements of Nasdaq and SEC rules and regulations. Each member of our audit committee meets the financial literacy requirements of the corporate governance requirements of Nasdaq. In addition, our board of directors has determined that Ms. Taylor is an audit committee financial expert within the meaning of Item 407(d) of Regulation S-K under the Securities Act. Our audit committee is, among other things, responsible for:</w:t>
      </w:r>
    </w:p>
    <w:p>
      <w:pPr>
        <w:spacing w:after="0" w:line="129"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 with management and the independent registered public accounting firm, our interim and year-end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our critical accounting policies and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quarterly earnings press releases and financial information and earnings guidance provided to analysis and rating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related-party transactions;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required, pre-approving, all audit and all permissible non-audit services to be performed by the independent registered public accounting firm;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and independence of our internal audit function.</w:t>
      </w:r>
    </w:p>
    <w:p>
      <w:pPr>
        <w:spacing w:after="0" w:line="171" w:lineRule="exact"/>
        <w:rPr>
          <w:sz w:val="20"/>
          <w:szCs w:val="20"/>
          <w:color w:val="auto"/>
        </w:rPr>
      </w:pPr>
    </w:p>
    <w:p>
      <w:pPr>
        <w:ind w:right="200"/>
        <w:spacing w:after="0" w:line="438"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that satisfies the applicable rules of the SEC and the corporate governance requirements of Nasdaq. </w:t>
      </w:r>
      <w:r>
        <w:rPr>
          <w:rFonts w:ascii="Times New Roman" w:cs="Times New Roman" w:eastAsia="Times New Roman" w:hAnsi="Times New Roman"/>
          <w:sz w:val="18"/>
          <w:szCs w:val="18"/>
          <w:b w:val="1"/>
          <w:bCs w:val="1"/>
          <w:i w:val="1"/>
          <w:iCs w:val="1"/>
          <w:color w:val="auto"/>
        </w:rPr>
        <w:t>Compensation Committee</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Messrs. Bailey and Hilton, with Mr. Hilton serving as chair. The composition of our compensation committee meets the requirements for independence under the corporate governance requirements of Nasdaq and SEC rules and regulations. Each member of the compensation committee is also a non-employee director, as defined in Rule 16b-3 promulgated under the Exchange Act. The purpose of our compensation committee is to discharge the responsibilities of our board of directors relating to compensation of our executive officers and non-employee directors. Our compensation committee, among other things, is responsible for:</w:t>
      </w:r>
    </w:p>
    <w:p>
      <w:pPr>
        <w:spacing w:after="0" w:line="129" w:lineRule="exact"/>
        <w:rPr>
          <w:sz w:val="20"/>
          <w:szCs w:val="20"/>
          <w:color w:val="auto"/>
        </w:rPr>
      </w:pPr>
    </w:p>
    <w:p>
      <w:pPr>
        <w:ind w:left="660" w:right="300" w:hanging="328"/>
        <w:spacing w:after="0" w:line="266"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determining or making recommendations to our board of directors regarding, the compensation of our executive officers, including any long-term incentive components of our compensation programs, any employment agreements, severance arrangements, change in control agreements or provisions and any special or supplemental benefits;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regarding the compensation of non-employee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or other advisers;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131"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incentive compensation and equity-based plans;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administration of all incentive compensation and equity-based plans for our employees.</w:t>
      </w:r>
    </w:p>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of the SEC and the corporate governance requirements of Nasdaq.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Wright and Ms. Alder, with Ms. Alder serving as chair. The composition of our nominating and corporate governance committee meets the requirements for independence under the corporate governance requirements of Nasdaq and SEC rules and regulations. Our nominating and corporate governance committee is, among other things, responsible for:</w:t>
      </w:r>
    </w:p>
    <w:p>
      <w:pPr>
        <w:spacing w:after="0" w:line="122" w:lineRule="exact"/>
        <w:rPr>
          <w:sz w:val="20"/>
          <w:szCs w:val="20"/>
          <w:color w:val="auto"/>
        </w:rPr>
      </w:pPr>
    </w:p>
    <w:p>
      <w:pPr>
        <w:ind w:left="660" w:right="540" w:hanging="328"/>
        <w:spacing w:after="0" w:line="28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making recommendations to our board of directors regarding, nominees for election to our board of directors and its committees;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its committees and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that satisfies the applicable corporate governance requirements and rules of Nasdaq.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of Directors in Risk Oversight Process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director of our board of directors during the fiscal year ended December 31, 2024 (“fiscal year 2024”). Other than as set forth in the table and described more fully below, we did not pay any compensation, make any equity awards or non-equity awards to or pay any other compensation to any of the non-employee members of our board of directors in 2024 for their services as members of the board of directors. Messrs. Bailey and Ainge did not receive any compensation for their services as members of the board of directors due to their affiliation with KL Pattern Holdings LP and Pattern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00"/>
          </w:cols>
          <w:pgMar w:left="320" w:top="131"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Preferred Investors, LLC, respectively, and Messrs. Reeves and Gay did not receive any compensation for their services as members of the board of directors due to their affiliation with Duchossois Capital Management and KSV Pattern, LLC, respectively. Mr. Wright and Ms. Alder served as members of our board of directors, as well as serving as employees, and were not separately compensated for their services as members of the board of directors. The compensation paid to Mr. Wright and Ms. Alder are reported in the “Executive Compensation—Fiscal Year 2024 Summary Compensation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2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4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660" w:type="dxa"/>
            <w:vAlign w:val="bottom"/>
            <w:gridSpan w:val="2"/>
            <w:vMerge w:val="continue"/>
          </w:tcPr>
          <w:p>
            <w:pPr>
              <w:spacing w:after="0"/>
              <w:rPr>
                <w:sz w:val="16"/>
                <w:szCs w:val="16"/>
                <w:color w:val="auto"/>
              </w:rPr>
            </w:pPr>
          </w:p>
        </w:tc>
        <w:tc>
          <w:tcPr>
            <w:tcW w:w="15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John Bailey</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Eric Reeves</w:t>
            </w:r>
            <w:r>
              <w:rPr>
                <w:rFonts w:ascii="Times New Roman" w:cs="Times New Roman" w:eastAsia="Times New Roman" w:hAnsi="Times New Roman"/>
                <w:sz w:val="23"/>
                <w:szCs w:val="23"/>
                <w:color w:val="auto"/>
                <w:vertAlign w:val="superscript"/>
              </w:rPr>
              <w:t>(1)(2)</w:t>
            </w: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Scott Hilton</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Tanner Ainge</w:t>
            </w:r>
            <w:r>
              <w:rPr>
                <w:rFonts w:ascii="Times New Roman" w:cs="Times New Roman" w:eastAsia="Times New Roman" w:hAnsi="Times New Roman"/>
                <w:sz w:val="23"/>
                <w:szCs w:val="23"/>
                <w:color w:val="auto"/>
                <w:vertAlign w:val="superscript"/>
              </w:rPr>
              <w:t>(1)(4)</w:t>
            </w: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Daniel Gay</w:t>
            </w:r>
            <w:r>
              <w:rPr>
                <w:rFonts w:ascii="Times New Roman" w:cs="Times New Roman" w:eastAsia="Times New Roman" w:hAnsi="Times New Roman"/>
                <w:sz w:val="23"/>
                <w:szCs w:val="23"/>
                <w:color w:val="auto"/>
                <w:vertAlign w:val="superscript"/>
              </w:rPr>
              <w:t>(1)(4)</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Messrs. Bailey, Reeves, Ainge and Gay did not hold any outstanding equity awards.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Reeves stepped down from our board of directors in May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Mr. Hilton held 50,000 RSUs.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Ainge joined the board in May 2024 and resigned in December 2024. As his replacement, Mr. Gay was appointed as a member of the board effective as of December 6,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Agreements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Scott Hilton</w:t>
      </w:r>
      <w:r>
        <w:rPr>
          <w:rFonts w:ascii="Times New Roman" w:cs="Times New Roman" w:eastAsia="Times New Roman" w:hAnsi="Times New Roman"/>
          <w:sz w:val="18"/>
          <w:szCs w:val="18"/>
          <w:color w:val="auto"/>
        </w:rPr>
        <w:t>. Mr. Hilton joined our board of directors on January 31, 2023. We have entered into a director agreement with Mr. Hilton. Pursuant to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Hilton’s director agreement, Mr. Hilton received 50,000 RSUs for Pattern’s common stock, which are subject to vesting based on the satisfaction of both certain service-and liquidity-based vesting conditions. With respect to the service-based vesting condition, 25% of the RSUs satisfied such condition on January 31, 2023 and the remaining 75% of the RSUs satisfy such condition in three (3) equal annual installments thereafter, subject to Mr. Hilton’s continued service with Pattern on each applicable date. The liquidity-based vesting condition will be satisfied based on the earlier of a Pattern change of control, as defined in the applicable award agreement, or the effective date of a registration statement filed by us under the Securities Act for the sale of our common stock, in each case prior to the expiration date of the RSUs. As a result, such RSUs that have previously satisfied the service-based condition fully vested in connection with the effectiveness of the registration statement of which this prospectus forms a part. In addition, pursuant to Mr. Hilton’s director agreement, Mr. Hilton is entitled to receive an annual cash retainer of $50,000, payable in equal quarterly installments. Mr. Hilton is eligible to receive reimbursement for his travel expenses reasonably incurred for performing his obligations as a director.</w:t>
      </w:r>
    </w:p>
    <w:p>
      <w:pPr>
        <w:spacing w:after="0" w:line="1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Susan Taylor and Ann Mather</w:t>
      </w:r>
      <w:r>
        <w:rPr>
          <w:rFonts w:ascii="Times New Roman" w:cs="Times New Roman" w:eastAsia="Times New Roman" w:hAnsi="Times New Roman"/>
          <w:sz w:val="18"/>
          <w:szCs w:val="18"/>
          <w:color w:val="auto"/>
        </w:rPr>
        <w:t>. Susan Taylor and Ann Mather joined our board of directors on May 28, 2025 and June 17, 2025, respectively.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director agreement with each of Ms. Taylor and Ms. Mather. Pursuant to such director agreements, each of Ms. Taylor and Ms. Mather is eligible to receive an initial grant of 25,030 RSUs for Pattern’s common stock (the “Initial Grant”) which was granted following the applicable individual’s appointment to our board of directors and which is subject to vesting based on the satisfaction of both certain service- and liquidity-based vesting conditions. With respect to the service-based vesting condition, one-third of the Initial Grant will satisfy such condition in three (3) equal annual installments on the first three anniversaries, respectively, of the applicable individual’s appointment to our board of directors, subject to the applicable individual’s continued service with Pattern on each applicable date. Pursuant to such director agreements, each of Ms. Taylor and Ms. Mather is also eligible to receive an annual grant of 11,780 RSUs for Pattern’s common stock (the “Annual Grant”) which will be granted following the applicable individual’s appointment to our board of directors and, which will be subject to vesting based on the satisfaction of both certain service- and performance-based vesting conditions. With respect to the service-based vesting condition, the Annual Grant will satisfy such condition on the earlier of one year from the date of the applicable individual’s appointment to our board of directors or the next annual meeting of our stockholders, subject to the applicable individual’s continued service with Pattern on the applicable date. The Initial Grant and the Annual Grant will satisfy the liquidity-based vesting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3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satisfied based on the earlier of a Pattern change of control, as defined in the applicable award agreement, or the effective date of a registration statement filed by us under the Securities Act for the sale of our common stock, in each case prior to the expiration date of the RSUs. As a result, such RSUs that have previously satisfied the service-based condition fully vested in connection with the effectiveness of the registration statement of which this prospectus forms a part. In addition, pursuant to such director agreements, each of Ms. Taylor and Ms. Mather is entitled to receive an annual cash retainer of $55,000, payable in equal quarterly installments (and for Ms. Taylor only, an initial annual cash retainer of $18,000, payable in equal quarterly installments, for services on the audit committee, which amount increased to $24,000 following the effectiveness of the registration statement of which this prospectus is part). Each of Ms. Taylor and Ms. Mather is eligible to receive reimbursement for her travel expenses reasonably incurred for performing her obligations as a director.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have adopted a non-employee director compensation policy, the material terms of which are described below, which is designed to align compensation with our business objectives and the creation of stockholder value, while enabling us to attract, retain, incentivize and reward directors who contribute to our long-term success.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Under the policy, our non-employee directors will be eligible to receive cash retainers (which will be prorated for partial years of service) as 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Annual Retainer</w:t>
            </w:r>
          </w:p>
        </w:tc>
      </w:tr>
      <w:tr>
        <w:trPr>
          <w:trHeight w:val="23"/>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Non-executive chair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56"/>
        </w:trPr>
        <w:tc>
          <w:tcPr>
            <w:tcW w:w="9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57"/>
        </w:trPr>
        <w:tc>
          <w:tcPr>
            <w:tcW w:w="9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57"/>
        </w:trPr>
        <w:tc>
          <w:tcPr>
            <w:tcW w:w="9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r>
    </w:tbl>
    <w:p>
      <w:pPr>
        <w:spacing w:after="0" w:line="23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 addition, the non-employee director compensation policy provides that upon initial election to our board of directors, each non-employee director will be granted a restricted stock unit award with a value of $375,000 (“Initial Grant”). The Initial Grant will vest in equal installments on the first, second, and third anniversaries of the grant date, subject to continued service through the applicable vesting date. Further, on the date of each annual meeting of stockholders following the completion of this offering, each non-employee director who continues as a non-employee director following such meeting will be granted an annual restricted stock unit award with a value of $187,500 (“Annual Grant”). The Annual Grant will vest in full on the earlier of (i) the first anniversary of the grant date or (ii) our next annual meeting of stockholders, subject to continued service through the applicable vesting date. If a non-employee director joins our board of directors on a date other than the date of the annual meeting of our stockholders, then such non-employee director will be granted, upon appointment to our board, a prorated portion of the Annual Grant based on the number of days between such appointment and the first June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following such appointment as the numerator and 365 as the denominator (the “Pro-Rated Annual Grant”). The Pro-Rated Annual Grant will vest in full on the earlier of (i) the first anniversary of the grant date or (ii) our next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3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stockholders, subject to continued service through the applicable vesting date.The Initial Grants and Annual Grants (including any Pro-Rata Annual Grants) are subject to full accelerated vesting upon the sale of Pattern.</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of Pattern in a calendar year period for services as a director will not exceed $1,000,000 in the first calendar year such individual becomes a non-employee director and $750,000 in any other calendar year.</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directors for their attendance at meetings of the board of directors or any committee thereof.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directors will receive no additional compensation for their 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3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is intended to assist our stockholders in understanding our executive compensation program by providing an overview of our policies, practices and decisions for fiscal year 2024. This Compensation Discussion also explains how we determined the material elements of compensation for our named executive officers in fiscal year 2024, who were:</w:t>
      </w:r>
    </w:p>
    <w:p>
      <w:pPr>
        <w:spacing w:after="0" w:line="122"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Wright, Co-founder and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Melanie Alder, Co-founder and Chief Strategy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Beesley, Chief Financial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other executive officers during fiscal year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program is designed to:</w:t>
      </w:r>
    </w:p>
    <w:p>
      <w:pPr>
        <w:spacing w:after="0" w:line="171"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our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structures that meet our strategic needs and take into consideration broader market practice;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those of our stockholders.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our business continues to grow and transform, we expect that our compensation practices will continue to evolve. We have, and will, continue to carefully evaluate our compensation practices and develop programs that we believe most appropriately motivate our executives to execute on our strategic and operational objectives, which in turn will drive sustained, long-term value creation for our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 of Directors</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Beginning in the fiscal year ending December 31, 2025 (“fiscal year 2025”) our board of directors or compensation committee, as applicable, will be responsible for reviewing and approving the compensation of our Chief Executive Officer and other named executive officers, including base salaries, short- or long-term incentive compensation, the size and structure of equity awards and any other compensation. In structuring an executive’s total compensation package, our board of directors will make decisions on a case-by-case basis considering the following factors:</w:t>
      </w:r>
    </w:p>
    <w:p>
      <w:pPr>
        <w:spacing w:after="0" w:line="126"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and business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executive’s prior experience and performance, scope of job function and criticality of his or her skills and contributions;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attract new and retain existing talent in a highly competitive market for senior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Officer’s recommendations, other than for himself or for Ms. Alder;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culture and values;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executive’s current equity ownership and total direct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compensation cost and impact on stockholder dilution;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80"/>
          </w:cols>
          <w:pgMar w:left="320" w:top="131" w:right="3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relative to market data.</w:t>
      </w:r>
    </w:p>
    <w:p>
      <w:pPr>
        <w:spacing w:after="0" w:line="17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board of directors will generally determine the principal components of our named executive officers’ compensation on an annual basis, although decisions may be made throughout the year as appropriate in the case of new hires, promotions or other special circumstances.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fiscal year 2025, our management has been responsible for reviewing and approving the compensation for our named executive officers other than our Chief Executive Officer and Chief Strategy Officer, as described below, and our board of directors has reviewed and approved the compensation for our Chief Executive Officer and Chief Strategy Officer.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board of directors works with, and receives information and analyses from, management, including individuals within our legal, finance and human resources functions, in considering and ultimately determining the structure and amount of compensation paid to our named executive officers. From time to time, these individuals and other employees, as well as outside advisors or consultants, may make presentations or provide information or advice to the board of directors regarding compensation matters, and may attend portions of board meetings.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Chief Executive Officer evaluates and provides assessments of named executive officers’ performance (other than for himself and our Chief Strategy Officer) to our board of directors. He also provides recommendations, outside the presence of any other named executive officers, regarding decisions affecting base salaries, incentive compensation and other compensation-related matters. Our board of directors retains authority to make all compensation decisions for our named executive officers, including our Chief Executive Officer. No executive may be present during decisions regarding his or her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to engage its own advisors, including compensation consultants, to assist in carrying out its responsibilities. Our board of directors has engaged Compensia, Inc. (“Compensia”) a leading compensation consulting firm, to provide guidance regarding the amount and types of compensation that we pay our executives, how our compensation practices compare to the practices of other similar companies, including with respect to a set of peer companies developed in consultation with Compensia, and other compensation-related matters. Representatives of Compensia attend meetings of our board of directors as requested and also communicate with our board of directors outside of board meetings. Compensia reports directly to our board of directors, although it may meet with members of management for purposes of gathering information on proposals that management may make to our board of directors. Compensia does not provide any services to us other than the services provided to our board of directors. Our board of directors has evaluated Compensia’s independence pursuant to the corporate governance requirements of Nasdaq and SEC rules and has determined that no conflict of interest has arisen as a result of the work performed by Compensia.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Market Data</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that it is important to understand the current practices of comparable companies with which we compete for talent to inform its compensation decision-making. Accordingly, during fiscal year 2023, our board of directors worked with Compensia to develop a compensation peer group for use as a reference point in assessing 2024 compensation practices, pay levels and market positioning going forward. Compensia undertook a detailed review of U.S.-based publicly-traded companies, taking into consideration our industry sector, the size of such companies (based on revenue and market capitalization) relative to our size and growth rate and the comparability of Pattern’s:</w:t>
      </w:r>
    </w:p>
    <w:p>
      <w:pPr>
        <w:spacing w:after="0" w:line="129" w:lineRule="exact"/>
        <w:rPr>
          <w:sz w:val="20"/>
          <w:szCs w:val="20"/>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model;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sales channels, including via the internet;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131"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history;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complexities and growth attributes;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curve stage (which increases its likelihood of attracting the type of executive talent for whom we compete);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performance.</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Following this review, in October 2023, we reviewed a peer group consisting of 22 publicly traded companies in related or adjacent industries and geographies generally aiming for companies with revenues in a recommended range. The companies comprising the 2024 compensation peer group include: Semrush Holdings, Sprout Social, BigCommerce Holdings, Braze, Integral Ad Science Holding, DoubleVerify Holdings, Klaviyo, Magnite, Digital Turbine, e.l.f. Beauty, Sprinklr, Squarespace, Revolve Group, Wix.com, Qualtrics International, YETI Holdings, Overstock.com, Etsy, Maplebear, Twilio, Chewy and Wayfair. As noted above, this 2024 compensation peer group was used as one factor in guiding our compensation decision-making for 2024 and we did not specifically benchmark to a particular percentile of our peer group in setting compensation for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Program Elements and Design</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consists of two primary elements: base salary and long-term incentives in the form of equity awards. During fiscal year 2024, we did not maintain a formal short-term incentive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compensation program, so that we can attract and retain a stable management team. Base salaries for our named executive officers are intended to provide an appropriate, competitive level of fixed cash compensation to compensate an individual for the day-to-day responsibilities associated with his or her role. Generally, we establish base salaries initially through arm’s length negotiation upon hire, taking into account the executives’ position, qualifications, experience, prior salary level and the base salaries of our other executive officers. Thereafter, our board of directors (or management, as applicable) may review base salaries for potential adjustment. Following this offering, the board of directors plans to perform such a review on an annual basis. The annual base salaries of each of our named executive officers for fiscal year 2024 are listed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 Annual Base</w:t>
            </w:r>
          </w:p>
        </w:tc>
        <w:tc>
          <w:tcPr>
            <w:tcW w:w="0" w:type="dxa"/>
            <w:vAlign w:val="bottom"/>
          </w:tcPr>
          <w:p>
            <w:pPr>
              <w:spacing w:after="0"/>
              <w:rPr>
                <w:sz w:val="1"/>
                <w:szCs w:val="1"/>
                <w:color w:val="auto"/>
              </w:rPr>
            </w:pPr>
          </w:p>
        </w:tc>
      </w:tr>
      <w:tr>
        <w:trPr>
          <w:trHeight w:val="195"/>
        </w:trPr>
        <w:tc>
          <w:tcPr>
            <w:tcW w:w="9680" w:type="dxa"/>
            <w:vAlign w:val="bottom"/>
            <w:gridSpan w:val="2"/>
            <w:vMerge w:val="continue"/>
          </w:tcPr>
          <w:p>
            <w:pPr>
              <w:spacing w:after="0"/>
              <w:rPr>
                <w:sz w:val="16"/>
                <w:szCs w:val="16"/>
                <w:color w:val="auto"/>
              </w:rPr>
            </w:pPr>
          </w:p>
        </w:tc>
        <w:tc>
          <w:tcPr>
            <w:tcW w:w="15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0" w:type="dxa"/>
            <w:vAlign w:val="bottom"/>
          </w:tcPr>
          <w:p>
            <w:pPr>
              <w:spacing w:after="0"/>
              <w:rPr>
                <w:sz w:val="1"/>
                <w:szCs w:val="1"/>
                <w:color w:val="auto"/>
              </w:rPr>
            </w:pP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Wright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18"/>
                <w:szCs w:val="18"/>
                <w:color w:val="auto"/>
              </w:rPr>
              <w:t>835,000</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Melanie Alder*</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Beesley</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731,000</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40" w:hanging="332"/>
        <w:spacing w:after="0" w:line="259" w:lineRule="auto"/>
        <w:tabs>
          <w:tab w:leader="none" w:pos="33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Wright’s and Ms. Alder’s salaries were effective as of September 1, 2024 and Mr. Beesley’s salary was effective as of May 16, 2024. Prior to September 1, 2024, the base salaries for Mr. Wright and Ms. Alder were $580,000 and $220,000, respectively, and prior to May 16, 2024, the base salary for Mr. Beesley was $500,000.</w:t>
      </w:r>
    </w:p>
    <w:p>
      <w:pPr>
        <w:ind w:left="320" w:hanging="312"/>
        <w:spacing w:after="0"/>
        <w:tabs>
          <w:tab w:leader="none" w:pos="3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Alder’s 2024 annual base salary reflects pro-rationing due to her reduced-hour employee status during such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fiscal year 2024 and in prior years, we granted equity compensation to our executive officers (starting in fiscal year 2024 for our Chief Executive Officer and Chief Strategy Officer) primarily in the form of RSUs, which serve as a motivation and retention tool, encouraging executives to remain with and build Pattern’s value over the long-term, while motivating them to achieve corporate objectives that in turn will deliver sustained value creation over the long-term. The vast majority of our named executive officers’ target total direct compensation (starting in fiscal year 2024 for our Chief Executive Officer and Chief Strategy Officer) is delivered in long-term equity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3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Our general practice in effect prior to this offering was to grant initial equity awards upon hiring that generally vested on an annual basis over four years, with one-fourth of the award vesting on the first through fourth anniversaries following grant. Subsequently, we may provide refresh grants from time-to-time as warranted based on our Chief Executive Officer’s recommendation and our board of director’s consideration of the other factors described above.</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9, 2024, our board of directors approved grants of 375,000 RSUs and 125,000 RSUs to Mr. Wright and Ms. Alder, respectively, with vesting subject to satisfaction of certain service-based and liquidity-based requirements. 50% of the service-based condition will be satisfied on September 1, 2025 and the remaining 50% of the service-based condition will be satisfied on September 1, 2026, subject to Mr. Wright’s and Ms. Alder’s, as applicable, continued service with Pattern through each applicable vesting date. The liquidity-based condition is satisfied on the earlier of Pattern’s change in control, as defined in the applicable award agreement, or the effective date of a registration statement filed by us under the Securities Act for the sale of our common stock, in each case prior to the expiration date. As a result, such RSUs that have previously satisfied the service-based condition fully vested in connection with the effectiveness of the registration statement of which this prospectus forms a part.</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10, 2024, our board of directors approved a grant of 28,180 RSUs to Mr. Beesley, with vesting subject to satisfaction of certain service-based and liquidity-based requirements. Twenty-five percent of the service-based condition will be satisfied on each anniversary of January 1, 2024, subject to Mr. Beesley’s continued service with Pattern through each applicable vesting date. The liquidity-based condition is satisfied on the earlier of our change in control, as defined in the applicable award agreement, or the effective date of a registration statement filed by us under the Securities Act for the sale of our common stock, in each case prior to the expiration date. As a result, such RSUs that have previously satisfied the service-based condition fully vested in connection with the effectiveness of the registration statement of which this prospectus forms a part.</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our board of directors has adopted an equity award grant policy that sets forth the process and timing for us to follow when we grant equity awards for shares of our Series A common stock to our employees or advisors or consultants (other than our non-employee directors) pursuant to our equity compensation plans. All grants of equity awards must be approved in advance by our board of directors, the compensation committee or any delegates. Generally, equity awards following this offering will be granted on the following regularly scheduled basis as set forth in the equity award grant policy: (a) equity awards granted in connection with the hiring of a new employee or the promotion of an existing employee or the engagement of a new consultant will generally be granted, if at all, regularly (either monthly or quarterly) following the later of the date of employment/promotion or the date of approval by the board of directors, compensation committee or any delegates, as applicable; and (b) equity awards granted to existing employees (other than in connection with a promotion or other special grant) will generally be granted, if at all, on an annual basis and will be effective following the date such grant is approved or such future date as approved by our board of directors, compensation committee or any delegates, as applicable.</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equity award grant policy, the Company will not purposely accelerate or delay the public release of material information in consideration of a pending equity award in order to allow a grantee to benefit from a more favorable stock price. The board of directors, compensation committee or any delegates, as applicable, will consider, and the Company’s management will advise the board of directors, compensation committee or any delegates, as applicable, whenever material nonpublic information is planned to be released to the public in close proximity to the grant of an equity award.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Features of Our Executive Compensation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Offer Letters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is an at-will employee. We have entered into an offer letter agreement with Mr. Beesley that set forth the terms and conditions of his employment, including position, base salary and certain severance benefits,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00"/>
          </w:cols>
          <w:pgMar w:left="320" w:top="131" w:right="3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w:t>
      </w:r>
    </w:p>
    <w:p>
      <w:pPr>
        <w:spacing w:after="0" w:line="17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Pursuant to Mr. Beesley’s offer letter with us, Mr. Beesley is eligible for severance and/or change in control benefits in the case of certain qualifying terminations, a change of control of the company and/or due to death or disability, each as defined in his offer letter. A detailed description of these arrangements is provided in the section titled “Post Employment Compensation” and “Potential Payments Upon Termination or Change in Control Table.”</w:t>
      </w:r>
    </w:p>
    <w:p>
      <w:pPr>
        <w:spacing w:after="0" w:line="10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addition, Mr. Beesley holds equity awards that were granted under and subject to the terms of our equity incentive plans and the applicable award agreements thereunder, which include certain acceleration of vesting benefits in the case of certain qualifying terminations, a change of control of the company and/or due to death or disability.</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board of directors believes these severance benefits are important from a retention perspective to provide some level of protection to our executives, and that the amounts are reasonable and maintain the competitiveness of our executive compensation and retention program. Further, our board of directors believes this structure serves to mitigate the distraction and loss of key executive officers that may occur in connection with a potential or actual change in control. Such payments protect the interests of our stockholders by enhancing executive focus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Payment of severance is contingent on the executive timely providing us with a general release of claims.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each of our named executive officers holds equity awards that were granted under and subject to the terms of our equity incentive plans and the applicable award agreements thereunder.</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our offering, our board of directors adopted the Executive Severance Plan (the “Severance Plan”), in which our named executive officers, and certain other executives, will participate. The benefits provided in the Severance Plan replace any severance for which our named executive officers may be eligible under their existing severance and change in control agreements. A detailed description of the Severance Plan is provided in the section titled “Post Employment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 Welfare and Health Benefits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Pattern provides a retirement savings plan (the “401(k) plan”), to U.S. employees that is intended to qualify for favorable tax treatment under Section 401(a) of the Code, and contains a cash or deferred feature that is intended to meet the requirements of Section 401(k) of the Code. U.S. employees who are at least 18 years of age are generally eligible to participate in the 401(k) plan, subject to certain criteria, including attaining at least three months of service with us.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An employee’s interest in his or her salary deferral contributions is 100% vested when contributed. Our 401(k) plan allows for safe harbor matching contributions under the plan equal to 100% of up to the first 3% of eligible compensation and 50% of up to the next 2% of eligible compensation. In addition, we have the ability to make discretionary nonelective contributions under the 401(k) plan. Matching and nonelective contributions made by us are immediately vested.</w:t>
      </w:r>
    </w:p>
    <w:p>
      <w:pPr>
        <w:spacing w:after="0" w:line="1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generally provide other benefits to our named executive officers on the same basis as to our other full-time employees. These benefits include, but are not limited to, medical, dental, vision, life, disability and accidental death and dismemberment insurance plans. In general, we pay the premiums for the life, disability and accidental death and dismemberment insurance for our employees, subject to certain limitations, including our named executive officers.</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3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programs. Accordingly, we generally do not provide perquisites or other personal benefits to our named executive officers beyond those provided to all employees as outlined above. In the future, we may provide such benefits to the extent we believe doing so is appropriate to assist an individual in the performance of his or her duties, to make our executive officers more efficient and effective and for recruitment and retention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required to reimburse us for any bonus or other incentive-based or equity-based compensation they receive in accordance with the provisions of Section 304 of the Sarbanes-Oxley Act. Additionally, in connection with this offering, we have implemented a Dodd-Frank Wall Street Reform and Consumer Protection Act-compliant compensation recoupment policy in accordance with SEC and Nasdaq requirements, which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had the financial results been properly reported.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Prohibiting Hedging and Pledging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we have adopted and maintain an Insider Trading Policy that, among other things, prohibits all of our employees, our executive officers, including our named executive officers, and our directors from engaging in certain transactions and activities relating to our securities. Pursuant to the policy, there is a blanket prohibition on hedging and pledging transactions with respect to our securities and our executive officers and the members of our board of directors are prohibited from engaging in the following transactions:</w:t>
      </w:r>
    </w:p>
    <w:p>
      <w:pPr>
        <w:spacing w:after="0" w:line="126"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any of our securities that they do not own at the time of the sale, or a short sale;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puts, calls, other derivative securities of the Company or any derivative securities that provide the economic equivalent of ownership of any of our securities or an opportunity, direct or indirect, to profit from any change in the value of our securities or engaging in any other hedging transaction with respect to our securities;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our securities as collateral in a margin account;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our securities as collateral for a loan (or modifying an existing pledge), except as may be approved by our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Under ASC Topic 718, we are required to measure the compensation expense for all stock-based awards made to employees and directors based on the grant-date fair value of these awards. We record stock-based compensation expense on an ongoing basis according to ASC Topic 718. The accounting impact of our compensation programs is one of many factors that our board of directors considers in determining the structure and size of our executive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3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Section 162(m) of the Code (“Section 162(m)”) compensation paid to each of the Company’s “covered employees” that exceeds $1 million per taxable year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Although our board of directors will continue to consider tax implications as one factor in determining executive compensation, our board of directors also looks at other factors in making its decisions and retains the flexibility to provide compensation for our named executive officers in a manner consistent with the goals of our executive compensation program and the best interests of our company and stockholders, which may include providing for compensation that is not deductible by the company due to the deduction limit under Section 162(m). Our board of directors also retains the flexibility to modify compensation that was initially intended to be exempt from the deduction limit under Section 162(m) if it determines that such modifications are consistent with our business needs.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“Parachute” Payments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have not provided any named executive officer with a “gross-up” or other reimbursement payment for any tax liability that he or she might owe as a result of the application of Sections 280G or 4999 and we have not agreed and are not otherwise obligated to provide any named executive officer, with such a “gross-up” or other reimbursement payment.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409A of the Internal Revenue Code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Section 409A of the Code imposes additional significant taxes in the event that an executive officer, director or service provider receives “deferred compensation” that does not satisfy the requirements of Section 409A of the Code. Although we do not maintain a traditional nonqualified deferred compensation plan, Section 409A of the Code does apply to certain severance arrangements and equity awards. We structure all our severance arrangements, and equity awards in a manner to either avoid the application of Section 409A or, to the extent doing so is not possible, to comply with the applicable requirements of Section 409A of the Code.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Summary Compensation Table</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Pattern’s named executive officers for services rendered to Pattern in all capacities in the fiscal year ended December 31, 2024 (“fiscal year 2024”) and December 31, 2023 (“fiscal year 2023”), as 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0"/>
        </w:trPr>
        <w:tc>
          <w:tcPr>
            <w:tcW w:w="3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Wright,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593"/>
              <w:spacing w:after="0" w:line="223" w:lineRule="exact"/>
              <w:rPr>
                <w:sz w:val="20"/>
                <w:szCs w:val="20"/>
                <w:color w:val="auto"/>
              </w:rPr>
            </w:pPr>
            <w:r>
              <w:rPr>
                <w:rFonts w:ascii="Times New Roman" w:cs="Times New Roman" w:eastAsia="Times New Roman" w:hAnsi="Times New Roman"/>
                <w:sz w:val="18"/>
                <w:szCs w:val="18"/>
                <w:color w:val="auto"/>
                <w:w w:val="94"/>
              </w:rPr>
              <w:t>654,375</w:t>
            </w:r>
            <w:r>
              <w:rPr>
                <w:rFonts w:ascii="Times New Roman" w:cs="Times New Roman" w:eastAsia="Times New Roman" w:hAnsi="Times New Roman"/>
                <w:sz w:val="23"/>
                <w:szCs w:val="23"/>
                <w:color w:val="auto"/>
                <w:w w:val="94"/>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4,822,500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5,476,875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9"/>
              </w:rPr>
              <w:t>580,000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591,640</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Melanie Alder,</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1440" w:type="dxa"/>
            <w:vAlign w:val="bottom"/>
          </w:tcPr>
          <w:p>
            <w:pPr>
              <w:jc w:val="center"/>
              <w:ind w:left="593"/>
              <w:spacing w:after="0" w:line="223" w:lineRule="exact"/>
              <w:rPr>
                <w:sz w:val="20"/>
                <w:szCs w:val="20"/>
                <w:color w:val="auto"/>
              </w:rPr>
            </w:pPr>
            <w:r>
              <w:rPr>
                <w:rFonts w:ascii="Times New Roman" w:cs="Times New Roman" w:eastAsia="Times New Roman" w:hAnsi="Times New Roman"/>
                <w:sz w:val="18"/>
                <w:szCs w:val="18"/>
                <w:color w:val="auto"/>
                <w:w w:val="94"/>
              </w:rPr>
              <w:t>243,333</w:t>
            </w:r>
            <w:r>
              <w:rPr>
                <w:rFonts w:ascii="Times New Roman" w:cs="Times New Roman" w:eastAsia="Times New Roman" w:hAnsi="Times New Roman"/>
                <w:sz w:val="23"/>
                <w:szCs w:val="23"/>
                <w:color w:val="auto"/>
                <w:w w:val="94"/>
                <w:vertAlign w:val="superscript"/>
              </w:rPr>
              <w:t>(2)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1,607,500</w:t>
            </w:r>
          </w:p>
        </w:tc>
        <w:tc>
          <w:tcPr>
            <w:tcW w:w="100" w:type="dxa"/>
            <w:vAlign w:val="bottom"/>
          </w:tcPr>
          <w:p>
            <w:pPr>
              <w:spacing w:after="0"/>
              <w:rPr>
                <w:sz w:val="19"/>
                <w:szCs w:val="19"/>
                <w:color w:val="auto"/>
              </w:rPr>
            </w:pPr>
          </w:p>
        </w:tc>
        <w:tc>
          <w:tcPr>
            <w:tcW w:w="144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color w:val="auto"/>
              </w:rPr>
              <w:t>9,733</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1,860,566</w:t>
            </w:r>
          </w:p>
        </w:tc>
        <w:tc>
          <w:tcPr>
            <w:tcW w:w="0" w:type="dxa"/>
            <w:vAlign w:val="bottom"/>
          </w:tcPr>
          <w:p>
            <w:pPr>
              <w:spacing w:after="0"/>
              <w:rPr>
                <w:sz w:val="1"/>
                <w:szCs w:val="1"/>
                <w:color w:val="auto"/>
              </w:rPr>
            </w:pPr>
          </w:p>
        </w:tc>
      </w:tr>
      <w:tr>
        <w:trPr>
          <w:trHeight w:val="23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Strategy Officer</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0"/>
                <w:szCs w:val="20"/>
                <w:color w:val="auto"/>
              </w:rPr>
            </w:pPr>
          </w:p>
        </w:tc>
        <w:tc>
          <w:tcPr>
            <w:tcW w:w="144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9"/>
              </w:rPr>
              <w:t>220,000</w:t>
            </w:r>
          </w:p>
        </w:tc>
        <w:tc>
          <w:tcPr>
            <w:tcW w:w="1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Beesley,</w:t>
            </w:r>
          </w:p>
        </w:tc>
        <w:tc>
          <w:tcPr>
            <w:tcW w:w="1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593"/>
              <w:spacing w:after="0" w:line="230" w:lineRule="exact"/>
              <w:rPr>
                <w:sz w:val="20"/>
                <w:szCs w:val="20"/>
                <w:color w:val="auto"/>
              </w:rPr>
            </w:pPr>
            <w:r>
              <w:rPr>
                <w:rFonts w:ascii="Times New Roman" w:cs="Times New Roman" w:eastAsia="Times New Roman" w:hAnsi="Times New Roman"/>
                <w:sz w:val="18"/>
                <w:szCs w:val="18"/>
                <w:color w:val="auto"/>
                <w:w w:val="94"/>
              </w:rPr>
              <w:t>634,750</w:t>
            </w:r>
            <w:r>
              <w:rPr>
                <w:rFonts w:ascii="Times New Roman" w:cs="Times New Roman" w:eastAsia="Times New Roman" w:hAnsi="Times New Roman"/>
                <w:sz w:val="23"/>
                <w:szCs w:val="23"/>
                <w:color w:val="auto"/>
                <w:w w:val="94"/>
                <w:vertAlign w:val="superscript"/>
              </w:rPr>
              <w:t>(2)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344,078</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978,828</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9"/>
              </w:rPr>
              <w:t>500,000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jc w:val="both"/>
        <w:ind w:left="340" w:right="400" w:hanging="332"/>
        <w:spacing w:after="0" w:line="270"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RSUs of common stock granted to our named executive officers during fiscal year 2024 and fiscal year 2023, calculated in accordance with FASB ASC Topic 718. During fiscal year 2024 and fiscal year 2023, Mr. Wright, Ms. Alder and Mr. Beesley were granted RSUs that are subject to both service-based and liquidity-based vesting conditions. The grant date fair value of RSUs granted in fiscal year 2024 and fiscal year 2023 reported in the table above assumes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3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4"/>
          <w:szCs w:val="14"/>
          <w:color w:val="auto"/>
        </w:rPr>
        <w:t xml:space="preserve">achievement of the liquidity-based vesting condition and therefore the grant date fair value, calculated in accordance with FASB ASC Topic 718, in the table is based on maximum achievement of the performance conditions, which is the same as the grant date fair value, calculated in accordance with FASB ASC Topic 718, based on probable achievement of the performance conditions. Such grant date fair values do not take into account any estimated forfeitures. The assumptions used in calculating the grant date fair value of the RSUs reported in this column are set forth in </w:t>
      </w:r>
      <w:r>
        <w:rPr>
          <w:rFonts w:ascii="Times New Roman" w:cs="Times New Roman" w:eastAsia="Times New Roman" w:hAnsi="Times New Roman"/>
          <w:sz w:val="14"/>
          <w:szCs w:val="14"/>
          <w:i w:val="1"/>
          <w:iCs w:val="1"/>
          <w:color w:val="auto"/>
        </w:rPr>
        <w:t>Note 11—Stock-Based Compensation</w:t>
      </w:r>
      <w:r>
        <w:rPr>
          <w:rFonts w:ascii="Times New Roman" w:cs="Times New Roman" w:eastAsia="Times New Roman" w:hAnsi="Times New Roman"/>
          <w:sz w:val="14"/>
          <w:szCs w:val="14"/>
          <w:color w:val="auto"/>
        </w:rPr>
        <w:t>, in the “Notes to Consolidated Financial Statements” included elsewhere in this prospectus. The amount reported in this column reflects the accounting cost for the award and does not correspond to the actual economic value that may be received by our named executive officers upon vesting of the RSUs or any sale of the shares.</w:t>
      </w:r>
    </w:p>
    <w:p>
      <w:pPr>
        <w:spacing w:after="0" w:line="2" w:lineRule="exact"/>
        <w:rPr>
          <w:sz w:val="20"/>
          <w:szCs w:val="20"/>
          <w:color w:val="auto"/>
        </w:rPr>
      </w:pPr>
    </w:p>
    <w:p>
      <w:pPr>
        <w:ind w:left="340" w:right="100" w:hanging="332"/>
        <w:spacing w:after="0" w:line="256" w:lineRule="auto"/>
        <w:tabs>
          <w:tab w:leader="none" w:pos="33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January 1, 2024 through August 31, 2024, the annual base salaries for Mr. Wright and Ms. Alder were $580,000 and $220,000, respectively. From January 1, 2024 through May 15, 2024, the annual base salary for Mr. Beesley was $500,000. Effective as of September 1, 2024, the annual base salaries for Mr. Wright and Ms. Alder increased to $835,000 and $300,000, respectively, and effective as of May 16, 2024, the annual base salary for Mr. Beesley increased to $731,000. Ms. Alder’s 2024 annual base salary reflects pro-rationing due to her reduced-hour employee status during such year.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matching contributions made by us under our 401(k)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concerning grants of plan-based awards to each of the named executive officers as of December 31, 2024.</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76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 Non-Equity Incentive</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Estimated Future Payouts Under Equity Incentive Plan</w:t>
            </w:r>
          </w:p>
        </w:tc>
      </w:tr>
      <w:tr>
        <w:trPr>
          <w:trHeight w:val="155"/>
        </w:trPr>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Plan Awards</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940" w:type="dxa"/>
            <w:vAlign w:val="bottom"/>
            <w:tcBorders>
              <w:bottom w:val="single" w:sz="8" w:color="auto"/>
            </w:tcBorders>
          </w:tcPr>
          <w:p>
            <w:pPr>
              <w:spacing w:after="0"/>
              <w:rPr>
                <w:sz w:val="13"/>
                <w:szCs w:val="13"/>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8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8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Target ($)</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Target ($)</w:t>
            </w:r>
          </w:p>
        </w:tc>
        <w:tc>
          <w:tcPr>
            <w:tcW w:w="9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Maximum ($)</w:t>
            </w: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80" w:type="dxa"/>
            <w:vAlign w:val="bottom"/>
            <w:vMerge w:val="restart"/>
          </w:tcPr>
          <w:p>
            <w:pPr>
              <w:jc w:val="center"/>
              <w:ind w:right="10"/>
              <w:spacing w:after="0"/>
              <w:rPr>
                <w:sz w:val="20"/>
                <w:szCs w:val="20"/>
                <w:color w:val="auto"/>
              </w:rPr>
            </w:pPr>
            <w:r>
              <w:rPr>
                <w:rFonts w:ascii="Times New Roman" w:cs="Times New Roman" w:eastAsia="Times New Roman" w:hAnsi="Times New Roman"/>
                <w:sz w:val="11"/>
                <w:szCs w:val="11"/>
                <w:b w:val="1"/>
                <w:bCs w:val="1"/>
                <w:color w:val="auto"/>
                <w:w w:val="98"/>
              </w:rPr>
              <w:t>All other Stock</w:t>
            </w:r>
          </w:p>
        </w:tc>
        <w:tc>
          <w:tcPr>
            <w:tcW w:w="86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All other Option</w:t>
            </w:r>
          </w:p>
        </w:tc>
        <w:tc>
          <w:tcPr>
            <w:tcW w:w="0" w:type="dxa"/>
            <w:vAlign w:val="bottom"/>
          </w:tcPr>
          <w:p>
            <w:pPr>
              <w:spacing w:after="0"/>
              <w:rPr>
                <w:sz w:val="1"/>
                <w:szCs w:val="1"/>
                <w:color w:val="auto"/>
              </w:rPr>
            </w:pPr>
          </w:p>
        </w:tc>
      </w:tr>
      <w:tr>
        <w:trPr>
          <w:trHeight w:val="40"/>
        </w:trPr>
        <w:tc>
          <w:tcPr>
            <w:tcW w:w="880" w:type="dxa"/>
            <w:vAlign w:val="bottom"/>
            <w:vMerge w:val="continue"/>
          </w:tcPr>
          <w:p>
            <w:pPr>
              <w:spacing w:after="0"/>
              <w:rPr>
                <w:sz w:val="3"/>
                <w:szCs w:val="3"/>
                <w:color w:val="auto"/>
              </w:rPr>
            </w:pPr>
          </w:p>
        </w:tc>
        <w:tc>
          <w:tcPr>
            <w:tcW w:w="860" w:type="dxa"/>
            <w:vAlign w:val="bottom"/>
            <w:vMerge w:val="restart"/>
          </w:tcPr>
          <w:p>
            <w:pPr>
              <w:jc w:val="center"/>
              <w:ind w:left="6"/>
              <w:spacing w:after="0" w:line="108" w:lineRule="exact"/>
              <w:rPr>
                <w:sz w:val="20"/>
                <w:szCs w:val="20"/>
                <w:color w:val="auto"/>
              </w:rPr>
            </w:pPr>
            <w:r>
              <w:rPr>
                <w:rFonts w:ascii="Times New Roman" w:cs="Times New Roman" w:eastAsia="Times New Roman" w:hAnsi="Times New Roman"/>
                <w:sz w:val="11"/>
                <w:szCs w:val="11"/>
                <w:b w:val="1"/>
                <w:bCs w:val="1"/>
                <w:color w:val="auto"/>
                <w:w w:val="97"/>
              </w:rPr>
              <w:t>Awards: Number</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ind w:right="3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Awards: Number</w:t>
            </w: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880" w:type="dxa"/>
            <w:vAlign w:val="bottom"/>
            <w:vMerge w:val="continue"/>
          </w:tcPr>
          <w:p>
            <w:pPr>
              <w:spacing w:after="0"/>
              <w:rPr>
                <w:sz w:val="3"/>
                <w:szCs w:val="3"/>
                <w:color w:val="auto"/>
              </w:rPr>
            </w:pPr>
          </w:p>
        </w:tc>
        <w:tc>
          <w:tcPr>
            <w:tcW w:w="860" w:type="dxa"/>
            <w:vAlign w:val="bottom"/>
            <w:vMerge w:val="restart"/>
          </w:tcPr>
          <w:p>
            <w:pPr>
              <w:jc w:val="center"/>
              <w:ind w:left="6"/>
              <w:spacing w:after="0" w:line="108" w:lineRule="exact"/>
              <w:rPr>
                <w:sz w:val="20"/>
                <w:szCs w:val="20"/>
                <w:color w:val="auto"/>
              </w:rPr>
            </w:pPr>
            <w:r>
              <w:rPr>
                <w:rFonts w:ascii="Times New Roman" w:cs="Times New Roman" w:eastAsia="Times New Roman" w:hAnsi="Times New Roman"/>
                <w:sz w:val="11"/>
                <w:szCs w:val="11"/>
                <w:b w:val="1"/>
                <w:bCs w:val="1"/>
                <w:color w:val="auto"/>
                <w:w w:val="96"/>
              </w:rPr>
              <w:t>of Securities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ind w:right="10"/>
              <w:spacing w:after="0" w:line="108" w:lineRule="exact"/>
              <w:rPr>
                <w:sz w:val="20"/>
                <w:szCs w:val="20"/>
                <w:color w:val="auto"/>
              </w:rPr>
            </w:pPr>
            <w:r>
              <w:rPr>
                <w:rFonts w:ascii="Times New Roman" w:cs="Times New Roman" w:eastAsia="Times New Roman" w:hAnsi="Times New Roman"/>
                <w:sz w:val="11"/>
                <w:szCs w:val="11"/>
                <w:b w:val="1"/>
                <w:bCs w:val="1"/>
                <w:color w:val="auto"/>
                <w:w w:val="97"/>
              </w:rPr>
              <w:t>of Shares of</w:t>
            </w: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880" w:type="dxa"/>
            <w:vAlign w:val="bottom"/>
            <w:vMerge w:val="continue"/>
          </w:tcPr>
          <w:p>
            <w:pPr>
              <w:spacing w:after="0"/>
              <w:rPr>
                <w:sz w:val="3"/>
                <w:szCs w:val="3"/>
                <w:color w:val="auto"/>
              </w:rPr>
            </w:pPr>
          </w:p>
        </w:tc>
        <w:tc>
          <w:tcPr>
            <w:tcW w:w="860" w:type="dxa"/>
            <w:vAlign w:val="bottom"/>
            <w:vMerge w:val="restart"/>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0" w:type="dxa"/>
            <w:vAlign w:val="bottom"/>
          </w:tcPr>
          <w:p>
            <w:pPr>
              <w:spacing w:after="0"/>
              <w:rPr>
                <w:sz w:val="1"/>
                <w:szCs w:val="1"/>
                <w:color w:val="auto"/>
              </w:rPr>
            </w:pPr>
          </w:p>
        </w:tc>
      </w:tr>
      <w:tr>
        <w:trPr>
          <w:trHeight w:val="108"/>
        </w:trPr>
        <w:tc>
          <w:tcPr>
            <w:tcW w:w="880" w:type="dxa"/>
            <w:vAlign w:val="bottom"/>
          </w:tcPr>
          <w:p>
            <w:pPr>
              <w:jc w:val="center"/>
              <w:ind w:right="30"/>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 or units (#)</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7"/>
                <w:szCs w:val="7"/>
                <w:b w:val="1"/>
                <w:bCs w:val="1"/>
                <w:color w:val="auto"/>
                <w:w w:val="97"/>
              </w:rPr>
              <w:t>(1)</w:t>
            </w:r>
          </w:p>
        </w:tc>
        <w:tc>
          <w:tcPr>
            <w:tcW w:w="86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6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Exercise or Base</w:t>
            </w:r>
          </w:p>
        </w:tc>
        <w:tc>
          <w:tcPr>
            <w:tcW w:w="80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7"/>
              </w:rPr>
              <w:t>Grant date fair</w:t>
            </w: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800" w:type="dxa"/>
            <w:vAlign w:val="bottom"/>
          </w:tcPr>
          <w:p>
            <w:pPr>
              <w:jc w:val="center"/>
              <w:ind w:left="26"/>
              <w:spacing w:after="0" w:line="108" w:lineRule="exact"/>
              <w:rPr>
                <w:sz w:val="20"/>
                <w:szCs w:val="20"/>
                <w:color w:val="auto"/>
              </w:rPr>
            </w:pPr>
            <w:r>
              <w:rPr>
                <w:rFonts w:ascii="Times New Roman" w:cs="Times New Roman" w:eastAsia="Times New Roman" w:hAnsi="Times New Roman"/>
                <w:sz w:val="11"/>
                <w:szCs w:val="11"/>
                <w:b w:val="1"/>
                <w:bCs w:val="1"/>
                <w:color w:val="auto"/>
                <w:w w:val="96"/>
              </w:rPr>
              <w:t>value of Stock</w:t>
            </w:r>
          </w:p>
        </w:tc>
        <w:tc>
          <w:tcPr>
            <w:tcW w:w="0" w:type="dxa"/>
            <w:vAlign w:val="bottom"/>
          </w:tcPr>
          <w:p>
            <w:pPr>
              <w:spacing w:after="0"/>
              <w:rPr>
                <w:sz w:val="1"/>
                <w:szCs w:val="1"/>
                <w:color w:val="auto"/>
              </w:rPr>
            </w:pPr>
          </w:p>
        </w:tc>
      </w:tr>
      <w:tr>
        <w:trPr>
          <w:trHeight w:val="108"/>
        </w:trPr>
        <w:tc>
          <w:tcPr>
            <w:tcW w:w="86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Price of Option</w:t>
            </w:r>
          </w:p>
        </w:tc>
        <w:tc>
          <w:tcPr>
            <w:tcW w:w="800" w:type="dxa"/>
            <w:vAlign w:val="bottom"/>
          </w:tcPr>
          <w:p>
            <w:pPr>
              <w:jc w:val="center"/>
              <w:ind w:left="26"/>
              <w:spacing w:after="0" w:line="108" w:lineRule="exact"/>
              <w:rPr>
                <w:sz w:val="20"/>
                <w:szCs w:val="20"/>
                <w:color w:val="auto"/>
              </w:rPr>
            </w:pPr>
            <w:r>
              <w:rPr>
                <w:rFonts w:ascii="Times New Roman" w:cs="Times New Roman" w:eastAsia="Times New Roman" w:hAnsi="Times New Roman"/>
                <w:sz w:val="11"/>
                <w:szCs w:val="11"/>
                <w:b w:val="1"/>
                <w:bCs w:val="1"/>
                <w:color w:val="auto"/>
                <w:w w:val="97"/>
              </w:rPr>
              <w:t>and Option</w:t>
            </w:r>
          </w:p>
        </w:tc>
        <w:tc>
          <w:tcPr>
            <w:tcW w:w="0" w:type="dxa"/>
            <w:vAlign w:val="bottom"/>
          </w:tcPr>
          <w:p>
            <w:pPr>
              <w:spacing w:after="0"/>
              <w:rPr>
                <w:sz w:val="1"/>
                <w:szCs w:val="1"/>
                <w:color w:val="auto"/>
              </w:rPr>
            </w:pPr>
          </w:p>
        </w:tc>
      </w:tr>
      <w:tr>
        <w:trPr>
          <w:trHeight w:val="162"/>
        </w:trPr>
        <w:tc>
          <w:tcPr>
            <w:tcW w:w="8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Awards ($/Sh)</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2"/>
              </w:rPr>
              <w:t>Awards</w:t>
            </w:r>
            <w:r>
              <w:rPr>
                <w:rFonts w:ascii="Times New Roman" w:cs="Times New Roman" w:eastAsia="Times New Roman" w:hAnsi="Times New Roman"/>
                <w:sz w:val="14"/>
                <w:szCs w:val="14"/>
                <w:b w:val="1"/>
                <w:bCs w:val="1"/>
                <w:color w:val="auto"/>
                <w:w w:val="92"/>
                <w:vertAlign w:val="superscript"/>
              </w:rPr>
              <w:t>(2)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7520" w:space="100"/>
            <w:col w:w="1740" w:space="160"/>
            <w:col w:w="1720"/>
          </w:cols>
          <w:pgMar w:left="320" w:top="13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David Wright</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9/9/2024</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4,822,500</w:t>
            </w: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Melanie Alder</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9/9/2024</w:t>
            </w:r>
          </w:p>
        </w:tc>
        <w:tc>
          <w:tcPr>
            <w:tcW w:w="10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100" w:type="dxa"/>
            <w:vAlign w:val="bottom"/>
          </w:tcPr>
          <w:p>
            <w:pPr>
              <w:spacing w:after="0"/>
              <w:rPr>
                <w:sz w:val="14"/>
                <w:szCs w:val="1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1,607,500</w:t>
            </w:r>
          </w:p>
        </w:tc>
      </w:tr>
      <w:tr>
        <w:trPr>
          <w:trHeight w:val="181"/>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Jason Beesley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5/10/2024</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28,180</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344,078</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ind w:left="340" w:right="160" w:hanging="332"/>
        <w:spacing w:after="0" w:line="261" w:lineRule="auto"/>
        <w:tabs>
          <w:tab w:leader="none" w:pos="33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RSUs that vest based on the satisfaction of both service-based and liquidity-based vesting conditions, which is described above under Executive Competition Program Elements and Design—Long-Term Incentive Compensation—2024 Grants and below in the “Outstanding Equity Awards at 2024 Fiscal Year-End” table.</w:t>
      </w:r>
    </w:p>
    <w:p>
      <w:pPr>
        <w:ind w:left="340" w:hanging="332"/>
        <w:spacing w:after="0" w:line="258" w:lineRule="auto"/>
        <w:tabs>
          <w:tab w:leader="none" w:pos="33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represent the aggregate grant date fair value of the RSUs of common stock granted to our named executive officer during fiscal year 2024, calculated in accordance with FASB ASC Topic 718. During fiscal year 2024, Mr. Wright, Ms. Alder and Mr. Beesley were granted RSUs that are subject to both service-based and liquidity-based vesting conditions. The grant date fair value of RSUs granted in fiscal year 2024 reported in the table above assumes achievement of the liquidity-based vesting condition and therefore the grant date fair value, calculated in accordance with FASB ASC Topic 718, in the table is based on maximum achievement of the performance conditions, which is the same as the grant date fair value, calculated in accordance with FASB ASC Topic 718, based on probable achievement of the performance conditions. Such grant date fair values do not take into account any estimated forfeitures. The assumptions used in calculating the grant date fair value of the RSUs reported in this column are set forth in </w:t>
      </w:r>
      <w:r>
        <w:rPr>
          <w:rFonts w:ascii="Times New Roman" w:cs="Times New Roman" w:eastAsia="Times New Roman" w:hAnsi="Times New Roman"/>
          <w:sz w:val="14"/>
          <w:szCs w:val="14"/>
          <w:i w:val="1"/>
          <w:iCs w:val="1"/>
          <w:color w:val="auto"/>
        </w:rPr>
        <w:t>Note 11—Stock-Based Compensation</w:t>
      </w:r>
      <w:r>
        <w:rPr>
          <w:rFonts w:ascii="Times New Roman" w:cs="Times New Roman" w:eastAsia="Times New Roman" w:hAnsi="Times New Roman"/>
          <w:sz w:val="14"/>
          <w:szCs w:val="14"/>
          <w:color w:val="auto"/>
        </w:rPr>
        <w:t>, in the “Notes to Consolidated Financial Statements” included elsewhere in this prospectus. The amount reported in this column reflects the accounting cost for the award and does not correspond to the actual economic value that may be received by our named executive officers upon vesting of the RSUs or any sale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31"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the named executive officers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3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40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142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30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92"/>
        </w:trPr>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3"/>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140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440" w:type="dxa"/>
            <w:vAlign w:val="bottom"/>
            <w:gridSpan w:val="3"/>
            <w:vMerge w:val="continue"/>
          </w:tcPr>
          <w:p>
            <w:pPr>
              <w:spacing w:after="0"/>
              <w:rPr>
                <w:sz w:val="4"/>
                <w:szCs w:val="4"/>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That Have</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 that have Not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135"/>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1"/>
                <w:szCs w:val="11"/>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40" w:type="dxa"/>
            <w:vAlign w:val="bottom"/>
            <w:gridSpan w:val="2"/>
            <w:vMerge w:val="continue"/>
          </w:tcPr>
          <w:p>
            <w:pPr>
              <w:spacing w:after="0"/>
              <w:rPr>
                <w:sz w:val="11"/>
                <w:szCs w:val="11"/>
                <w:color w:val="auto"/>
              </w:rPr>
            </w:pPr>
          </w:p>
        </w:tc>
        <w:tc>
          <w:tcPr>
            <w:tcW w:w="14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Have Not Vested (#)</w:t>
            </w:r>
          </w:p>
        </w:tc>
        <w:tc>
          <w:tcPr>
            <w:tcW w:w="140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Pr>
          <w:p>
            <w:pPr>
              <w:jc w:val="center"/>
              <w:ind w:left="281"/>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4"/>
                <w:szCs w:val="14"/>
                <w:b w:val="1"/>
                <w:bCs w:val="1"/>
                <w:color w:val="auto"/>
                <w:w w:val="96"/>
              </w:rPr>
              <w:t>Not Vested ($)</w:t>
            </w:r>
            <w:r>
              <w:rPr>
                <w:rFonts w:ascii="Times New Roman" w:cs="Times New Roman" w:eastAsia="Times New Roman" w:hAnsi="Times New Roman"/>
                <w:sz w:val="18"/>
                <w:szCs w:val="18"/>
                <w:b w:val="1"/>
                <w:bCs w:val="1"/>
                <w:color w:val="auto"/>
                <w:w w:val="96"/>
                <w:vertAlign w:val="superscript"/>
              </w:rPr>
              <w:t>(2)</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Wright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9/1/2024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3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Melanie Alder</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9/9/2024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9/1/2024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Jason Beesley</w:t>
            </w:r>
          </w:p>
        </w:tc>
        <w:tc>
          <w:tcPr>
            <w:tcW w:w="140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4/5/2021</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1/20/2021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850,000</w:t>
            </w:r>
          </w:p>
        </w:tc>
        <w:tc>
          <w:tcPr>
            <w:tcW w:w="3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11,900,000</w:t>
            </w: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0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4/13/2023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2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5/10/2024</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1/1/2024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3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394,520</w:t>
            </w:r>
          </w:p>
        </w:tc>
        <w:tc>
          <w:tcPr>
            <w:tcW w:w="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40" w:right="100" w:hanging="332"/>
        <w:spacing w:after="0" w:line="259" w:lineRule="auto"/>
        <w:tabs>
          <w:tab w:leader="none" w:pos="33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RSUs that vest based on the satisfaction of both service-based and liquidity-based vesting conditions, as described above under “Executive Compensation Program Elements and Design—Long-Term Incentive Compensation—2024 Grants.” None of our named executive officers have received any stock options.</w:t>
      </w:r>
    </w:p>
    <w:p>
      <w:pPr>
        <w:ind w:left="340" w:right="180" w:hanging="332"/>
        <w:spacing w:after="0" w:line="261" w:lineRule="auto"/>
        <w:tabs>
          <w:tab w:leader="none" w:pos="33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calculated by multiplying the number of RSUs shown in the table by the fair market value of our common stock as of December 31, 2024. As there was no public market for our common stock on December 31, 2024, we have assumed that the fair market value on such date was $14.00 per share, which represents the initial public offering price.</w:t>
      </w:r>
    </w:p>
    <w:p>
      <w:pPr>
        <w:ind w:left="340" w:hanging="332"/>
        <w:spacing w:after="0" w:line="255" w:lineRule="auto"/>
        <w:tabs>
          <w:tab w:leader="none" w:pos="33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are subject to vesting based on the satisfaction of both certain service-and liquidity-based vesting conditions. The service-based vesting condition is satisfied as follows: 50% of the RSUs satisfy such condition on the first anniversary of the vesting commencement date and the remaining 50% of the RSUs satisfy such condition on the second anniversary of the vesting commencement date, subject to the named executive officer’s continued service with us on each applicable date. The liquidity-based condition is satisfied on the earlier of our change in control, as defined in the applicable award agreement, or the effective date of a registration statement filed by us under the Securities Act for the sale of our common stock, in each case prior to the expiration date. As a result, such RSUs that have previously satisfied the service-based condition fully vested in connection with the effectiveness of the registration statement of which this prospectus forms a part.</w:t>
      </w:r>
    </w:p>
    <w:p>
      <w:pPr>
        <w:spacing w:after="0" w:line="2" w:lineRule="exact"/>
        <w:rPr>
          <w:rFonts w:ascii="Times New Roman" w:cs="Times New Roman" w:eastAsia="Times New Roman" w:hAnsi="Times New Roman"/>
          <w:sz w:val="14"/>
          <w:szCs w:val="14"/>
          <w:color w:val="auto"/>
        </w:rPr>
      </w:pPr>
    </w:p>
    <w:p>
      <w:pPr>
        <w:ind w:left="340" w:right="40" w:hanging="332"/>
        <w:spacing w:after="0" w:line="261" w:lineRule="auto"/>
        <w:tabs>
          <w:tab w:leader="none" w:pos="33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are subject to vesting based on the satisfaction of both certain service-and liquidity-based vesting conditions. The service-based vesting condition is satisfied as follows: 25% of the RSUs satisfy such condition on the first anniversary of the vesting commencement date and the remaining 75% of the RSUs satisfy such condition in three (3) equal annual installments thereafter, subject to the named executive officer’s continued service with us on each applicable date. The liquidity-based vesting condition is satisfied on the earlier of our change in control, as defined in the applicable award agreement, or the effective date of a registration statement filed by us under the Securities Act for the sale of our common stock, in each case prior to the expiration date. As a result, such RSUs that have previously satisfied the service-based condition fully vested in connection with the effectiveness of the registration statement of which this prospectus forms a part. The RSUs are also subject to certain acceleration of vesting rights as set forth in the named executive’s offer letter as described below in the “Potential Payments Upon Termination or Change in Control Table” section.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Year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2024, no options were exercised by our named executive officers and no RSUs held by our named executive officers vested.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offer any defined benefit pension plans for our employees.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offer any non-qualified deferred compensation arrangements for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3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Jason Beesley</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Mr. Beesley’s offer letter, in the event of a change of control, as defined in the applicable award agreement, other than an initial public offering, the service-based vesting condition for Mr. Beesley’s outstanding RSUs will be deemed fully satisfied, provided that upon the closing of such change of control, 50% of the value of such RSUs will be paid to Mr. Beesley in cash upon the closing of the change of control and the remaining 50% will be paid to him on the first anniversary of the closing of the change of control, unless Mr. Beesley has been terminated for cause, as defined in the 2019 Plan, prior to the date that payment of the second installment becomes due. Mr. Beesley will be entitled to payment of the second installment upon Pattern’s termination of him without cause, as defined in the applicable award agreement, Mr. Beesley’s resignation for good reason, as defined in the offer letter, Mr. Beesley’s death or Mr. Beesley’s termination due to disability.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in the event of death, disability or voluntary resignation other than a resignation for good reason upon a prior notice of at least three (3) months, as defined in the offer letter, he will be entitled to his then vested RSUs, and, with respect to twenty-five percent (25%) of his RSUs that would have time-vested on the next immediate anniversary of the vesting commencement date had he remained employed, a portion of such unearned twenty-five percent (25%) of the RSUs equal to the product of (x) the twenty-five percent (25%) and (y) the fraction, the numerator of which is the number of months (partial deemed an entire month) he was employed during the 12-month period that ends on the immediate upcoming anniversary of his vesting commencement date, and the denominator of which is 12.</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(i) in the event that Mr. Beesley is terminated without cause, as defined in the applicable award agreement, or resigns for good reason, as defined in his offer letter, prior to the first anniversary of the applicable grant date of his RSUs, he will be entitled to receive one (1) year of base salary payable in a lump sum within 30 days of the date his employment ceases, and the RSUs will be forfeited and (ii) in the event that Mr. Beesley is terminated without cause or resigns for good reason after the first anniversary of the applicable grant date of his RSUs, he will be entitled to his then vested RSUs and fifty-percent (50%) acceleration of time-based vesting with respect to his unvested RSUs as of the date immediately prior to the date his employment ceases, subject, in each case, to Mr. Beesley’s timely execution of a separation agreement including a release in favor of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Plan</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our board of directors adopted the Severance Plan, which provides that upon a (i) termination of employment by us for any reason other than due to “cause,” as defined in the Severance Plan, death or “disability,” as defined in the Severance Plan, or (ii) resignation for “good reason”, as defined in the Severance Plan, in each case outside of the change in control period (i.e., the period beginning three months prior to and ending 12 months after a “change in control,” as defined in the Severance Plan), an eligible executive officer will be entitled to receive, subject to the execution and delivery of an effective and irrevocable release of claims in favor of the company and continued compliance with all applicable restrictive covenants,</w:t>
      </w:r>
    </w:p>
    <w:p>
      <w:pPr>
        <w:spacing w:after="0" w:line="3" w:lineRule="exact"/>
        <w:rPr>
          <w:sz w:val="20"/>
          <w:szCs w:val="20"/>
          <w:color w:val="auto"/>
        </w:rPr>
      </w:pPr>
    </w:p>
    <w:p>
      <w:pPr>
        <w:ind w:right="60" w:firstLine="8"/>
        <w:spacing w:after="0" w:line="251" w:lineRule="auto"/>
        <w:tabs>
          <w:tab w:leader="none" w:pos="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“base salary” (i.e., the higher of the annual base salary in effect immediately prior to the date of termination or the annual base salary in effect for the year immediately prior to the year in which the date of termination occurs) for our Chief Executive Officer, 12 months for Tier 2 officers (which is determined by the plan administrator and includes the named executive officers other than the Chief Executive Officer) and 6 months for Tier 3 officers (which is determined by the plan administrator) and (B) an amount equal to the monthly employer contribution, based on the premiums as of the date of termination, that we would have made to provide health insurance for the applicable executive officer if he or she had remained employed by us for up to 12 months for our Chief Executive Officer, 12 months for Tier 2 officers and 6 months for Tier 3 officers. The payments under (A) and (B) will be paid in substantially equal installments in accordance with our payroll practice over 12 months for our Chief Executive Officer, 12 months for Tier 2 officers and 6 months for Tier 3 officers.</w:t>
      </w:r>
    </w:p>
    <w:p>
      <w:pPr>
        <w:spacing w:after="0" w:line="14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Severance Plan also provides that upon a (I) termination by us other than due to cause, death or disability or (II) resignation for good reason, in each case within the change in control period, an eligible executive officer will be entitled to receive, in lieu of the payments and benefits above and subject to the execution and delivery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3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and irrevocable release of claims in favor of the company and continued compliance with all applicable restrictive covenants, (w) a lump sum amount equal to 150% of the base salary and 150% of the target annual bonus in effect immediately prior to the date of termination (or immediately prior to the change in control, if higher) for our Chief Executive Officer, 100% of the base salary and 100% of the target annual bonus in effect immediately prior to the date of termination (or immediately prior to the change in control, if higher) for our Tier 2 officers and 50% of the base salary and 50% of the target annual bonus in effect immediately prior to the date of termination (or immediately prior to the change in control if higher) for our Tier 3 officers, (x) an amount equal to the monthly employer contribution, based on the premiums as of the date of termination, that we would have made to provide health insurance for the applicable executive officer if he or she had remained employed by us for up to 18 months for our Chief Executive Officer, up to 12 months for our Tier 2 officers and up to 6 months for our Tier 3 officers, and (z) for all outstanding and unvested equity awards of the company that are subject to time-based vesting held by the officer, full accelerated vesting of such awards; provided, that any outstanding and unvested equity awards subject to performance-based vesting will be deemed satisfied in accordance with the terms of the applicable award agreement.</w:t>
      </w:r>
    </w:p>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Mr. Beesley shall continue to be eligible for the acceleration of vesting provisions applicable to Mr. Beesley’s awards granted prior to the adoption of the Severance Plan, as described above.</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payments and benefits provided under the Severance Plan in connection with a change in control may not be eligible for a federal income tax deduction by us pursuant to Section 280G of the Code. These payments and benefits may also subject an eligible officer,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officer.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 Table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table below quantifies the potential payments and benefits that would have become due to our named executive officers assuming that one of the triggering events below occurred as of December 31, 2024, assuming that for purposes of the RSUs, the offering has occurred as of December 31, 2024, any acceleration of vesting value is with respect to service-based vesting condition only, and the values below are based on Pattern’s fair market value for a share of common stock on December 31, 2024. As there was no public market for our common stock on December 31, 2024, we have assumed that the fair market value on such date was $14.00 per share, which represents the initial public offering price.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Termination upon Death,</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Termination upon Death,</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Termination Without Cause</w:t>
            </w:r>
          </w:p>
        </w:tc>
        <w:tc>
          <w:tcPr>
            <w:tcW w:w="16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Disability or Voluntary</w:t>
            </w:r>
          </w:p>
        </w:tc>
        <w:tc>
          <w:tcPr>
            <w:tcW w:w="1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Disability, Without Cause or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or for Good Reason not in</w:t>
            </w:r>
          </w:p>
        </w:tc>
        <w:tc>
          <w:tcPr>
            <w:tcW w:w="1280" w:type="dxa"/>
            <w:vAlign w:val="bottom"/>
          </w:tcPr>
          <w:p>
            <w:pPr>
              <w:jc w:val="center"/>
              <w:ind w:left="231"/>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Resignation not in</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for Good Reason in</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1"/>
                <w:szCs w:val="11"/>
                <w:color w:val="auto"/>
              </w:rPr>
            </w:pPr>
          </w:p>
        </w:tc>
        <w:tc>
          <w:tcPr>
            <w:tcW w:w="19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Payments and Benefits</w:t>
            </w:r>
          </w:p>
        </w:tc>
        <w:tc>
          <w:tcPr>
            <w:tcW w:w="100" w:type="dxa"/>
            <w:vAlign w:val="bottom"/>
          </w:tcPr>
          <w:p>
            <w:pPr>
              <w:spacing w:after="0"/>
              <w:rPr>
                <w:sz w:val="11"/>
                <w:szCs w:val="11"/>
                <w:color w:val="auto"/>
              </w:rPr>
            </w:pPr>
          </w:p>
        </w:tc>
        <w:tc>
          <w:tcPr>
            <w:tcW w:w="166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Change in Control (no</w:t>
            </w:r>
          </w:p>
        </w:tc>
        <w:tc>
          <w:tcPr>
            <w:tcW w:w="16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connection with a Change in</w:t>
            </w:r>
          </w:p>
        </w:tc>
        <w:tc>
          <w:tcPr>
            <w:tcW w:w="16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connection with a Change in</w:t>
            </w:r>
          </w:p>
        </w:tc>
        <w:tc>
          <w:tcPr>
            <w:tcW w:w="1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 with a Change in</w:t>
            </w: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termination of employment)</w:t>
            </w:r>
          </w:p>
        </w:tc>
        <w:tc>
          <w:tcPr>
            <w:tcW w:w="1240" w:type="dxa"/>
            <w:vAlign w:val="bottom"/>
          </w:tcPr>
          <w:p>
            <w:pPr>
              <w:jc w:val="center"/>
              <w:ind w:left="271"/>
              <w:spacing w:after="0"/>
              <w:rPr>
                <w:sz w:val="20"/>
                <w:szCs w:val="20"/>
                <w:color w:val="auto"/>
              </w:rPr>
            </w:pPr>
            <w:r>
              <w:rPr>
                <w:rFonts w:ascii="Times New Roman" w:cs="Times New Roman" w:eastAsia="Times New Roman" w:hAnsi="Times New Roman"/>
                <w:sz w:val="13"/>
                <w:szCs w:val="13"/>
                <w:b w:val="1"/>
                <w:bCs w:val="1"/>
                <w:color w:val="auto"/>
                <w:w w:val="96"/>
              </w:rPr>
              <w:t>Control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left="231"/>
              <w:spacing w:after="0"/>
              <w:rPr>
                <w:sz w:val="20"/>
                <w:szCs w:val="20"/>
                <w:color w:val="auto"/>
              </w:rPr>
            </w:pPr>
            <w:r>
              <w:rPr>
                <w:rFonts w:ascii="Times New Roman" w:cs="Times New Roman" w:eastAsia="Times New Roman" w:hAnsi="Times New Roman"/>
                <w:sz w:val="13"/>
                <w:szCs w:val="13"/>
                <w:b w:val="1"/>
                <w:bCs w:val="1"/>
                <w:color w:val="auto"/>
                <w:w w:val="96"/>
              </w:rPr>
              <w:t>Control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left="271"/>
              <w:spacing w:after="0"/>
              <w:rPr>
                <w:sz w:val="20"/>
                <w:szCs w:val="20"/>
                <w:color w:val="auto"/>
              </w:rPr>
            </w:pPr>
            <w:r>
              <w:rPr>
                <w:rFonts w:ascii="Times New Roman" w:cs="Times New Roman" w:eastAsia="Times New Roman" w:hAnsi="Times New Roman"/>
                <w:sz w:val="13"/>
                <w:szCs w:val="13"/>
                <w:b w:val="1"/>
                <w:bCs w:val="1"/>
                <w:color w:val="auto"/>
                <w:w w:val="96"/>
              </w:rPr>
              <w:t>Control</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Wright</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Acceleration</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Melanie Alder</w:t>
            </w:r>
          </w:p>
        </w:tc>
        <w:tc>
          <w:tcPr>
            <w:tcW w:w="100" w:type="dxa"/>
            <w:vAlign w:val="bottom"/>
          </w:tcPr>
          <w:p>
            <w:pPr>
              <w:spacing w:after="0"/>
              <w:rPr>
                <w:sz w:val="16"/>
                <w:szCs w:val="16"/>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Acceleration</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Jason Beesley</w:t>
            </w:r>
          </w:p>
        </w:tc>
        <w:tc>
          <w:tcPr>
            <w:tcW w:w="100" w:type="dxa"/>
            <w:vAlign w:val="bottom"/>
            <w:shd w:val="clear" w:color="auto" w:fill="CCEEFF"/>
          </w:tcPr>
          <w:p>
            <w:pPr>
              <w:spacing w:after="0"/>
              <w:rPr>
                <w:sz w:val="16"/>
                <w:szCs w:val="16"/>
                <w:color w:val="auto"/>
              </w:rPr>
            </w:pPr>
          </w:p>
        </w:tc>
        <w:tc>
          <w:tcPr>
            <w:tcW w:w="1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731,000</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34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4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30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9"/>
                <w:szCs w:val="9"/>
                <w:color w:val="auto"/>
                <w:w w:val="94"/>
              </w:rPr>
              <w:t>(3)</w:t>
            </w:r>
          </w:p>
        </w:tc>
        <w:tc>
          <w:tcPr>
            <w:tcW w:w="1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4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Acceleration</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4,944,520</w:t>
            </w: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2,275,000</w:t>
            </w: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3,511,130</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4,944,520</w:t>
            </w:r>
          </w:p>
        </w:tc>
        <w:tc>
          <w:tcPr>
            <w:tcW w:w="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4,944,520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3,511,130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4,944,520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59" w:lineRule="auto"/>
        <w:tabs>
          <w:tab w:leader="none" w:pos="33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acceleration of vesting of 100% of Mr. Beesley’s RSUs, of which 50% of the value will be paid in cash upon the closing of the change of control and the remaining 50% will be paid to on the first anniversary of the closing of the change of control.</w:t>
      </w:r>
    </w:p>
    <w:p>
      <w:pPr>
        <w:ind w:left="320" w:hanging="312"/>
        <w:spacing w:after="0"/>
        <w:tabs>
          <w:tab w:leader="none" w:pos="3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Mr. Beesley’s 2024 RSUs, one (1) year of base salary and for Mr. Beesley’s 2021 RSUs and 2023 RSUs, the value of acceleration of vesting of 50% of his RSUs.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pro-rated value of acceleration of vesting of the 25% of Mr. Beesley’s RSUs, based on the number of months he was employed during the applicable 12-month period.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acceleration of vesting of 100% of Mr. Beesley’s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3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2025 Plan was adopted by our board of directors on September 9, 2025, was approved by our stockholders on September 9, 2025 and became effective upon the date immediately preceding the date on which the registration statement of which this prospectus is part was declared effective by the SEC. The 2025 Plan replaced the 2019 Plan, as amended from time to time. The 2025 Plan provides flexibility to our compensation committee to use various equity-based incentive awards as compensation tools to motivate our workforce.</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initially reserved 8,742,802 shares of our Series A common stock for the issuance of awards under the 2025 Plan, plus the 3,602,605 shares of our Series A common stock remaining available for issuance under the 2019 Plan on the effective date of the 2025 Plan (“Initial Limit”). The 2025 Plan provides that the number of shares reserved and available for issuance under the 2025 Plan will automatically increase on January 1, 2026 and each January 1 thereafter, by 3% of the number of shares of our Series A and Series B common stock issued and outstanding on the immediately preceding December 31 (on an as converted to Series A common stock basis), or such lesser number of shares as determined by our compensation committee (the “Annual Increase”). The number of shares reserved under the 2025 Plan is subject to adjustment in the event of a stock split, stock dividend or other change in our capitalization.</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shares we issue under the 2025 Plan will be authorized but unissued shares or shares that we reacquire. The shares of Series A common stock underlying any awards under the 2025 Plan and the 2019 Plan, in each case, that are forfeited, cancelled, held back upon exercise or settlement of an award to satisfy the exercise price or tax withholding, reacquired by us prior to vesting, satisfied without the issuance of stock or are otherwise terminated (other than by exercise) will be added back to the shares of Series A common stock available for issuance under the 2025 Plan.</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maximum aggregate number of shares that may be issued in the form of incentive stock options shall not exceed the Initial Limit, cumulatively increased on January 1, 2026 and on each January 1 thereafter by the lesser of the Annual Increase for such year or 12,345,407 shares of Series A common stock.</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grant date fair value of all awards made under our 2025 Plan and all other cash compensation paid by us to any non-employee director in any calendar year for services as a non-employee director shall not exceed $750,000; provided, however, that such amount shall be $1,000,000 for the calendar year in which the applicable non-employee director is initially elected or appointed to our board of directors.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2025 Plan will be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to impose any limitations and/or vesting conditions on each award and to determine the specific terms and conditions of each award, subject to the provisions of the 2025 Plan. Persons eligible to participate in the 2025 Plan will be those full or part-time officers, employees, non-employee directors and consultants as selected from time to time by our compensation committee in its discretion.</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2025 Plan permits the granting of both options to purchase Series A common stock intended to qualify as incentive stock options under Section 422 of the Code and options that do not so qualify. The option exercise price of each option will be determined by our compensation committee but may not be less than 100% of the fair market value of our Series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ten years from the date of grant. Our compensation committee will determine at what time or times each option may be exercised.</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it may determine. Stock appreciation rights entitle the recipient to shares of Series A common stock, or cash, equal to the value of the appreciation in our stock price over the exercise price. The exercise price of each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320" w:top="131"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appreciation right may not be less than 100% of the fair market value of our Series A common stock on the date of grant unless the stock appreciation right is granted (i) pursuant to a transaction described in, and in a manner consistent with, Section 424(a) of the Code or (ii) to individuals who are not subject to U.S. income tax.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compensation committee may award restricted shares of Series A common stock and RSUs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Series A common stock that are free from any restrictions under the 2025 Plan. Unrestricted stock may be granted to participants in recognition of past services or for other valid consideration and may be issued in lieu of cash compensation due to such participant.</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dividend equivalent rights to participants that entitle the recipient to receive credits for dividends that would be paid if the recipient had held a specified number of shares of our Series A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may grant cash bonuses under the 2025 Plan to participants, subject to the achievement of certain performance goals.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2025 Plan provides that upon the effectiveness of a “sale event,” as defined in the 2025 Plan, an acquirer or successor entity may assume, continue or substitute outstanding awards under the 2025 Plan. To the extent that awards granted under the 2025 Plan are not assumed or continued or substituted by the successor entity, upon the effective time of the sale event, such awards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individuals holding options and stock appreciation rights (i) may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In addition, we may make or provide for a payment, in cash or in kind, to participants holding other vested awards.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may amend or discontinue the 2025 Plan and our compensation committee may amend or cancel outstanding awards for purposes of satisfying changes in law or any other lawful purpose but no such action may adversely affect rights under an award without the holder’s consent. Certain amendments to the 2025 Plan require the approval of our stockholders. The administrator of the 2025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2025 Plan after the date that is ten years from the effective date of the 2025 Plan. No awards under the 2025 Plan have been made prior to the date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2019 Plan was originally adopted by our board of directors and stockholders on March 4, 2019. The 2019 Plan provides flexibility to our board of directors or compensation committee to use various equity-based incentive awards as compensation tools to motivate our workforce.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reserved 24,698,512 shares of our Series A common stock for the issuance of awards under the 2019 Plan. The maximum aggregate number of shares that may be issued in the form of incentive stock options cannot exceed 24,698,512 shares of Series A common stock. The number of shares reserved under the 2019 Plan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3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adjustment in the event of a stock split, stock dividend or other change in our capitalization. As of December 31, 2024, 17,587,138 RSUs were outstanding under the 2019 Plan.</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shares we issue under the 2019 Plan are authorized but unissued shares or shares that we reacquire. The shares of Series A common stock underlying any awards under the 2019 Plan that are not purchased or are forfeited or are reacquired by Pattern (including any shares withheld by Pattern or shares tendered to satisfy any tax withholding obligation on awards or shares covered by an award that are settled in cash) or otherwise terminated or cancelled without delivery of any shares will be added back to the shares of Series A common stock available for issuance under the 2019 Plan.</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2019 Plan is administered by our board of directors or by the compensation committee of our board of directors when constituted. The 2019 Plan’s administrator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to impose any limitations and/or vesting conditions on each award and to determine the specific terms and conditions of each award, subject to the provisions of the 2019 Plan. Persons eligible to participate in the 2019 Plan will be those officers, employees, non-employee directors, consultants, independent contractors and advisors as selected from time to time by the 2019 Plan’s administrator in its discretion.</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2019 Plan permits the granting of both options to purchase Series A common stock intended to qualify as incentive stock options under Section 422 of the Code and options that do not so qualify as well as stock appreciation rights. The exercise price of each option or stock appreciation right will be determined by the 2019 Plan’s administrator but may not be less than 100% of the fair market value of our Series A common stock on the date of grant; provided, however, the 2019 Plan’s administrator may designate a purchase price below fair market value on the date of grant if the option or stock appreciation right is granted in substitution for an option or stock appreciation right previously granted by an entity that is acquired by or merged with Pattern or an affiliate. The term of each option will be fixed by the 2019 Plan’s administrator and may not exceed ten years from the date of grant. The 2019 Plan’s administrator determines at what time or times each option or stock appreciation right may be exercised.</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2019 Plan’s administrator may award restricted shares of Series A common stock and RSUs to participants subject to such conditions and restrictions as it may determine. These conditions and restrictions may include the achievement of certain performance goals and/or continued employment with us through a specified vesting period.</w:t>
      </w:r>
    </w:p>
    <w:p>
      <w:pPr>
        <w:spacing w:after="0" w:line="1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2019 Plan provides that in the event of any reorganization, merger, consolidation, split-up, spin-off, combination, plan of arrangement, take-over bid or tender offer, repurchase or exchange of shares or other securities of Pattern or any other similar corporate transaction or event involving Pattern, each, a Transaction, the 2019 Plan’s administrator may, in its sole discretion, provide for any of the following to be effective upon the consummation of the event:</w:t>
      </w:r>
    </w:p>
    <w:p>
      <w:pPr>
        <w:spacing w:after="0" w:line="1" w:lineRule="exact"/>
        <w:rPr>
          <w:sz w:val="20"/>
          <w:szCs w:val="20"/>
          <w:color w:val="auto"/>
        </w:rPr>
      </w:pPr>
    </w:p>
    <w:p>
      <w:pPr>
        <w:ind w:right="40" w:firstLine="8"/>
        <w:spacing w:after="0" w:line="251" w:lineRule="auto"/>
        <w:tabs>
          <w:tab w:leader="none" w:pos="2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termination of any such award, whether or not vested, in exchange for an amount of cash and/or other property, if any, equal to the amount that would have been attained upon the exercise of the vested portion of the award or realization of the participant’s vested rights (and, for the avoidance of doubt, if, as of the date of the occurrence of the applicable Transaction, the 2019 Plan’s administrator determines in good faith that no amount would have been attained upon the exercise of such award or realization of the participant’s vested rights, then such award may be terminated by Pattern without any payment) or (B) the replacement of such award with other rights or property selected by the 2019 Plan’s administrator, (ii)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(iii) that such award shall be exercisable or payable or fully vested with respect to all shares or (iv) that the award cannot vest, be exercised or become payable after a date certain in the future, which may be the effective date of the event.</w:t>
      </w:r>
    </w:p>
    <w:p>
      <w:pPr>
        <w:spacing w:after="0" w:line="139"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The 2019 Plan’s administrator may amend or discontinue the 2019 Plan, including without limitation amendment of any form of applicable award agreement or instrument to be executed pursuant to the 2019 Plan, but no such action may adversely affect rights under an award without the holder’s consent. Certain amendments to the 2019 Plan require the approval of our stockholders. No awards may be granted under the 2019 Plan after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20"/>
          </w:cols>
          <w:pgMar w:left="320" w:top="131"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ten years from the effective date of the 2019 Plan. No awards will be granted under our 2019 Plan following this offering.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ESPP was adopted by our board of directors on September 9, 2025, was approved by our stockholders on September 9, 2025 and became effective on the date immediately preceding the date on which the registration statement of which this prospectus is part was declared effective by the SEC. The ESPP is intended to have two components: a component intended to qualify as an “employee stock purchase plan” within the meaning of Section 423 of the Code (the “423 Component”) and a component that is not intended to qualify (the “Non-423 Component”). Except as otherwise provided, the Non-423 Component will be operated and administered in the same manner as the 423 Component, except where prohibited by law.</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ESPP initially reserves and authorizes the issuance of up to a total of 3,086,351 shares of Series A common stock to participating employees. The ESPP provides that the number of shares reserved and available for issuance will automatically increase on January 1, 2026 and each January 1 thereafter through January 1, 2035, by the least of (i) 3,086,351 shares of Series A common stock, (ii) 1% of the number of shares of our Series A and Series B common stock issued and outstanding on the immediately preceding December 31 (on an as converted to Series A common stock basis) or (iii) such lesser number of shares of our Series A common stock as determined by the administrator of the ESPP. The number of shares reserved under the ESPP will be subject to adjustment in the event of a stock split, stock dividend or other change in our capitalization.</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individuals classified as employees on the payroll records of the Company or a “designated company” (as defined in the ESPP) as of the first day of the applicable offering period, or the offering date, are eligible to participate in the ESPP; provided that the administrator of the ESPP may determine, in advance of any offering period, that employees are eligible only if, as of the offering date, they are customarily employed by us or a designated company for more than 20 hours a week. However, any employee who owns, or as a result of participation in the ESPP would own or hold, 5% or more of the total combined voting power or value of all classes of our stock will not be eligible to purchase shares of Series A common stock under the ESPP.</w:t>
      </w:r>
    </w:p>
    <w:p>
      <w:pPr>
        <w:spacing w:after="0" w:line="1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may make one or more offerings, consisting of one or more purchase periods, each year to our employees to purchase shares under the ESPP. The offerings will begin and end on such dates as determined by the administrator; provided, that no offering will exceed 27 months in duration. Each eligible employee who is not a participant in any prior offering may elect to participate in a subsequent offering by submitting an enrollment form at least 15 business days before the applicable offering date. Unless the administrator chooses otherwise prior to an offering date, and to the extent an offering has more than one purchase period, if the fair market value of our Series A common stock on any exercise date in an offering is lower than the fair market value of our Series A common stock on the offering date, then all participants in such offering automatically will be withdrawn from such offering immediately after the exercise of their option on such exercise date and automatically re-enrolled in the immediately following offering as of the first day thereof and the preceding offering will terminate.</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employee who is a participant in the ESPP will be able to purchase shares by authorizing payroll deductions of up to 15% of his or her eligible compensation during an offering period. Unless the participating employee has previously withdrawn from the offering, his or her accumulated payroll deductions will be used to purchase shares of Series A common stock on the last business day of the offering period at a price equal to 85% of the fair market value of the shares on the first business day or the last business day of the offering period, whichever is lower, provided that no more than a number of shares of Series A common stock determined by dividing $25,000 by the fair market value of the Series A common stock on the first day of the offering may be purchased by any one employee during any offering period. Under applicable tax rules, an employee may purchase no more than $25,000 worth of shares of Series A common stock, valued at the start of the purchase period, under the ESPP in any calendar year.</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or to facilitate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00"/>
          </w:cols>
          <w:pgMar w:left="320" w:top="131" w:right="3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Series A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p>
    <w:p>
      <w:pPr>
        <w:spacing w:after="0" w:line="1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accumulated payroll deductions of any employee who is not a participant on the last day of an offering period will be refunded. An employee’s rights under the ESPP will terminate upon voluntary withdrawal from the plan or when the employee ceases employment with us for any reason.</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ESPP may be terminated or amended by our board of directors at any time. An amendment that increases the number of shares of Series A common stock authorized under the ESPP and certain other amendments will require the approval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00"/>
          </w:cols>
          <w:pgMar w:left="320" w:top="131" w:right="3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2022 and each currently proposed transaction in which:</w:t>
      </w:r>
    </w:p>
    <w:p>
      <w:pPr>
        <w:spacing w:after="0" w:line="126"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owners of more than 5% of our capital stock, or any immediate family member of, or person sharing the household with, any of these individuals, had or will have a direct or indirect material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dated as of September 28, 2021 (“Investors’ Rights Agreement”) that provides, among other things, certain holders of our capital stock, including entities affiliated with KSV Pattern, LLC, an affiliate of Daniel Gay, a member of our board of directors, and KL Pattern Holdings LP, an affiliate of John Bailey, a member of our board of directors, with registration rights. See the section titled “Description of Capital Stock—Registration Rights” for more information regarding these registration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our bylaws and an amended and restated right of first refusal and co-sale agreement dated September 28, 2021 with certain holders of our capital stock, including entities affiliated with KSV Pattern, LLC, an affiliate of Daniel Gay, a member of our board of directors, entities affiliated with KL Pattern Holdings LP, an affiliate of John Bailey, a member of our board of directors, and entities affiliated with David Wright, our co-founder, Chief Executive Officer and Director, and Melanie Alder, our co-founder, Chief Strategy Officer and Director, we or our assignees have a right to purchase shares of our capital stock that certain stockholders propose to sell to other parties. This right will terminate upon completion of this offering. Since January 1, 2022, we have waived, exercised or assigned our right of first refusal in connection with the sale of certain shares of our capital stock, including with respect to sales by or to certain of our executive officers and directors. See the section titled “Principal and Selling Stockholders” for additional information regarding beneficial ownership of our capital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party to an amended and restated voting agreement dated September 28, 2021 under which certain holders of our capital stock, including entities affiliated with KSV Pattern, LLC, an affiliate of Daniel Gay, a member of our board of directors, entities affiliated with KL Pattern Holdings LP, an affiliate of John Bailey, a member of our board of directors, and entities affiliated with David Wright, our co-founder, Chief Executive Officer and Director, and Melanie Alder, our co-founder, Chief Strategy Officer and Director, have agreed as to the manner in which they will vote their shares of our capital stock on certain matters, including with respect to the election of directors. Upon completion of this offering, the amended and restated voting agreement will terminate.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lease approximately 7,200 square feet for a certain office and warehouse space in Lehi, Utah from ISERVE INVESTMENTS, LLC, an entity controlled by Melanie Alder, our co-founder, Chief Strategy Officer and Director. The lease expires on January 31, 2026, and we have the option to terminate with 60 days’ notice. During fiscal years 2024, 2023 and 2022, we made aggregate payments under the lease agreement and for associated costs of $88,066, $86,302 and $84,033, respectively. We expect to continue leasing the space following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3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granted RSUs to our executive officers and certain of our directors. See the sections titled “Executive Compensation” and “Non-Employee Director Compensation” for a description of these RSUs.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entered into change in control arrangements with certain of our executive officers that, among other things, provide for certain severance and change in control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to adopt an amended and restated certificate of incorporation in connection with this offering, which will become effective immediately prior to the completion of this offering and which will contain provisions that limit the liability of our directors and officers for monetary damages to the fullest extent permitted by Delaware law. Consequently, our directors and officers will not be personally liable to us or our stockholders for monetary damages for any breach of fiduciary duties as directors and officers, except liability for the following:</w:t>
      </w:r>
    </w:p>
    <w:p>
      <w:pPr>
        <w:spacing w:after="0" w:line="126"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unlawful payments of dividends or unlawful stock repurchases, or redemptions as provided in Section 174 of the DGCL;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officers, any derivative action by or in the right of the corporation.</w:t>
      </w:r>
    </w:p>
    <w:p>
      <w:pPr>
        <w:spacing w:after="0" w:line="171" w:lineRule="exact"/>
        <w:rPr>
          <w:sz w:val="20"/>
          <w:szCs w:val="20"/>
          <w:color w:val="auto"/>
        </w:rPr>
      </w:pPr>
    </w:p>
    <w:p>
      <w:pPr>
        <w:jc w:val="both"/>
        <w:ind w:right="320"/>
        <w:spacing w:after="0" w:line="289" w:lineRule="auto"/>
        <w:rPr>
          <w:sz w:val="20"/>
          <w:szCs w:val="20"/>
          <w:color w:val="auto"/>
        </w:rPr>
      </w:pPr>
      <w:r>
        <w:rPr>
          <w:rFonts w:ascii="Times New Roman" w:cs="Times New Roman" w:eastAsia="Times New Roman" w:hAnsi="Times New Roman"/>
          <w:sz w:val="17"/>
          <w:szCs w:val="17"/>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and officers of corporations, then the personal liability of our directors and officers will be further limited to the greatest extent permitted by the DGCL.</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expect to adopt amended and restated bylaws in connection with this offering,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we have entered into or will enter into, prior to the completion of this offering, indemnification agreements with each of our directors and executive officers that may be broader than the specific indemnification provisions contained in the DGCL.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320" w:top="131"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underwriting agreement dated September 18, 2025, by and among the representatives of the underwriters, the selling stockholders and us provides for indemnification by the underwriters of us and our officers, directors and employees for certain liabilities arising under the Securities Act, or otherwise with respect to information provided by the underwriters specifically for inclusion in the registration statement.</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7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audit committee charter provides that the audit committee has the primary responsibility for reviewing and approving or disapproving “related party transactions,” which are transactions, arrangements or relationships (or any series of similar transactions, arrangements or relationships)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In determining whether to approve or ratify any such transaction, our audit committee will take into account, among other factors it deems appropriate, (i) whether the transaction is on terms no less favorable than terms generally available to unaffiliated third parties under the same or similar circumstances and (ii) the extent of the related party’s interest in the transaction. All of the transactions described above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3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Series A common stock and Series B common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2025 (“Beneficial Ownership Date”) for:</w:t>
      </w:r>
    </w:p>
    <w:p>
      <w:pPr>
        <w:spacing w:after="0" w:line="153"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five percent of any class of our voting securities.</w:t>
      </w:r>
    </w:p>
    <w:p>
      <w:pPr>
        <w:spacing w:after="0" w:line="17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RSUs that would vest based on service-based vesting conditions, assuming any applicable liquidity event condition had been achieved, within 60 days of the Beneficial Ownership Date to be beneficially owned by the person holding the RSUs for the purpose of computing the percentage ownership of that person but have not treated them as outstanding for the purpose of computing the percentage ownership of any other person.</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have based percentage ownership of our common stock before this offering on 143,602,879 shares of our Series A common stock outstanding and 21,702,512 shares of our Series B common stock outstanding as of the Beneficial Ownership Date, in each case, after giving effect to the Reclassifications, Convertible Preferred Stock Conversion and RSU Net Settlement. Percentage ownership of our common stock after this offering assumes our sale</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of 10,714,286 shares of Series A common stock in this offering, the sale of 10,714,286 shares of Series A common stock by the selling stockholders, and no exercise by the underwriters of their option to purchase 3,214,285 additional shares of our Series A common stock from the selling stockholders. The exact number of shares of our Series A common stock that will be withheld from a stockholder in connection with the RSU Net Settlement may differ based on the stockholder’s personal tax rates.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prior to this offering, our common stock was entitled to one vote per share and our Founder Voting Preferred Stock (other than shares converted from Founder Non-Voting Preferred Stock in connection with this offering) was entitled to 1,000 votes per share, each of which is reflected in the percentage of voting power in “Shares Beneficially Owned Prior to this Offering” in the table below. Upon the completion of this offering, shares of our Series B common stock will be entitled to 20 votes per share, which is reflected in the percentage of voting power in “Shares Beneficially Owned After this Offering”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131"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Pattern Group Inc., 1441 West Innovation Way, Suite 500, Lehi, UT 84043.</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gridSpan w:val="6"/>
          </w:tcPr>
          <w:p>
            <w:pPr>
              <w:ind w:left="640"/>
              <w:spacing w:after="0"/>
              <w:rPr>
                <w:sz w:val="20"/>
                <w:szCs w:val="20"/>
                <w:color w:val="auto"/>
              </w:rPr>
            </w:pPr>
            <w:r>
              <w:rPr>
                <w:rFonts w:ascii="Times New Roman" w:cs="Times New Roman" w:eastAsia="Times New Roman" w:hAnsi="Times New Roman"/>
                <w:sz w:val="11"/>
                <w:szCs w:val="11"/>
                <w:b w:val="1"/>
                <w:bCs w:val="1"/>
                <w:color w:val="auto"/>
              </w:rPr>
              <w:t>Shares Beneficially Owned Before this Offering</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Total</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gridSpan w:val="6"/>
          </w:tcPr>
          <w:p>
            <w:pPr>
              <w:ind w:left="700"/>
              <w:spacing w:after="0"/>
              <w:rPr>
                <w:sz w:val="20"/>
                <w:szCs w:val="20"/>
                <w:color w:val="auto"/>
              </w:rPr>
            </w:pPr>
            <w:r>
              <w:rPr>
                <w:rFonts w:ascii="Times New Roman" w:cs="Times New Roman" w:eastAsia="Times New Roman" w:hAnsi="Times New Roman"/>
                <w:sz w:val="11"/>
                <w:szCs w:val="11"/>
                <w:b w:val="1"/>
                <w:bCs w:val="1"/>
                <w:color w:val="auto"/>
              </w:rPr>
              <w:t>Shares Beneficially Owned After this Offering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Voting Power</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Shares of Series A</w:t>
            </w:r>
          </w:p>
        </w:tc>
        <w:tc>
          <w:tcPr>
            <w:tcW w:w="11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 Total Voting</w:t>
            </w: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ind w:left="680"/>
              <w:spacing w:after="0" w:line="102"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ind w:left="600"/>
              <w:spacing w:after="0" w:line="102" w:lineRule="exact"/>
              <w:rPr>
                <w:sz w:val="20"/>
                <w:szCs w:val="20"/>
                <w:color w:val="auto"/>
              </w:rPr>
            </w:pPr>
            <w:r>
              <w:rPr>
                <w:rFonts w:ascii="Times New Roman" w:cs="Times New Roman" w:eastAsia="Times New Roman" w:hAnsi="Times New Roman"/>
                <w:sz w:val="9"/>
                <w:szCs w:val="9"/>
                <w:b w:val="1"/>
                <w:bCs w:val="1"/>
                <w:color w:val="auto"/>
              </w:rPr>
              <w:t>Series B</w:t>
            </w:r>
            <w:r>
              <w:rPr>
                <w:rFonts w:ascii="Times New Roman" w:cs="Times New Roman" w:eastAsia="Times New Roman" w:hAnsi="Times New Roman"/>
                <w:sz w:val="11"/>
                <w:szCs w:val="11"/>
                <w:b w:val="1"/>
                <w:bCs w:val="1"/>
                <w:color w:val="auto"/>
                <w:vertAlign w:val="superscript"/>
              </w:rPr>
              <w:t>(1)</w:t>
            </w:r>
          </w:p>
        </w:tc>
        <w:tc>
          <w:tcPr>
            <w:tcW w:w="56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80" w:type="dxa"/>
            <w:vAlign w:val="bottom"/>
            <w:gridSpan w:val="2"/>
          </w:tcPr>
          <w:p>
            <w:pPr>
              <w:ind w:left="680"/>
              <w:spacing w:after="0" w:line="102"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tcPr>
          <w:p>
            <w:pPr>
              <w:ind w:left="660"/>
              <w:spacing w:after="0" w:line="102"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tcPr>
          <w:p>
            <w:pPr>
              <w:jc w:val="center"/>
              <w:ind w:right="100"/>
              <w:spacing w:after="0" w:line="48" w:lineRule="exact"/>
              <w:rPr>
                <w:sz w:val="20"/>
                <w:szCs w:val="20"/>
                <w:color w:val="auto"/>
              </w:rPr>
            </w:pPr>
            <w:r>
              <w:rPr>
                <w:rFonts w:ascii="Times New Roman" w:cs="Times New Roman" w:eastAsia="Times New Roman" w:hAnsi="Times New Roman"/>
                <w:sz w:val="5"/>
                <w:szCs w:val="5"/>
                <w:b w:val="1"/>
                <w:bCs w:val="1"/>
                <w:color w:val="auto"/>
              </w:rPr>
              <w:t>Before this</w:t>
            </w:r>
          </w:p>
        </w:tc>
        <w:tc>
          <w:tcPr>
            <w:tcW w:w="1080" w:type="dxa"/>
            <w:vAlign w:val="bottom"/>
            <w:gridSpan w:val="2"/>
          </w:tcPr>
          <w:p>
            <w:pPr>
              <w:jc w:val="center"/>
              <w:ind w:right="100"/>
              <w:spacing w:after="0" w:line="48" w:lineRule="exact"/>
              <w:rPr>
                <w:sz w:val="20"/>
                <w:szCs w:val="20"/>
                <w:color w:val="auto"/>
              </w:rPr>
            </w:pPr>
            <w:r>
              <w:rPr>
                <w:rFonts w:ascii="Times New Roman" w:cs="Times New Roman" w:eastAsia="Times New Roman" w:hAnsi="Times New Roman"/>
                <w:sz w:val="5"/>
                <w:szCs w:val="5"/>
                <w:b w:val="1"/>
                <w:bCs w:val="1"/>
                <w:color w:val="auto"/>
              </w:rPr>
              <w:t>common stock</w:t>
            </w: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jc w:val="center"/>
              <w:spacing w:after="0" w:line="48" w:lineRule="exact"/>
              <w:rPr>
                <w:sz w:val="20"/>
                <w:szCs w:val="20"/>
                <w:color w:val="auto"/>
              </w:rPr>
            </w:pPr>
            <w:r>
              <w:rPr>
                <w:rFonts w:ascii="Times New Roman" w:cs="Times New Roman" w:eastAsia="Times New Roman" w:hAnsi="Times New Roman"/>
                <w:sz w:val="5"/>
                <w:szCs w:val="5"/>
                <w:b w:val="1"/>
                <w:bCs w:val="1"/>
                <w:color w:val="auto"/>
              </w:rPr>
              <w:t>Power After</w:t>
            </w:r>
          </w:p>
        </w:tc>
        <w:tc>
          <w:tcPr>
            <w:tcW w:w="0" w:type="dxa"/>
            <w:vAlign w:val="bottom"/>
          </w:tcPr>
          <w:p>
            <w:pPr>
              <w:spacing w:after="0"/>
              <w:rPr>
                <w:sz w:val="1"/>
                <w:szCs w:val="1"/>
                <w:color w:val="auto"/>
              </w:rPr>
            </w:pPr>
          </w:p>
        </w:tc>
      </w:tr>
      <w:tr>
        <w:trPr>
          <w:trHeight w:val="155"/>
        </w:trPr>
        <w:tc>
          <w:tcPr>
            <w:tcW w:w="1400" w:type="dxa"/>
            <w:vAlign w:val="bottom"/>
            <w:gridSpan w:val="2"/>
            <w:vMerge w:val="continue"/>
          </w:tcPr>
          <w:p>
            <w:pPr>
              <w:spacing w:after="0"/>
              <w:rPr>
                <w:sz w:val="13"/>
                <w:szCs w:val="13"/>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Being Offered</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1"/>
                <w:szCs w:val="11"/>
                <w:b w:val="1"/>
                <w:bCs w:val="1"/>
                <w:color w:val="auto"/>
                <w:w w:val="92"/>
              </w:rPr>
              <w:t>this Offering</w:t>
            </w:r>
            <w:r>
              <w:rPr>
                <w:rFonts w:ascii="Times New Roman" w:cs="Times New Roman" w:eastAsia="Times New Roman" w:hAnsi="Times New Roman"/>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15"/>
        </w:trPr>
        <w:tc>
          <w:tcPr>
            <w:tcW w:w="130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Named Executive</w:t>
            </w: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40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Officers, Directors</w:t>
            </w: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0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and Director</w:t>
            </w: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Nominee:</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David Wright</w:t>
            </w:r>
            <w:r>
              <w:rPr>
                <w:rFonts w:ascii="Times New Roman" w:cs="Times New Roman" w:eastAsia="Times New Roman" w:hAnsi="Times New Roman"/>
                <w:sz w:val="16"/>
                <w:szCs w:val="16"/>
                <w:color w:val="auto"/>
                <w:vertAlign w:val="superscript"/>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84,273,417</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9,414,286</w:t>
            </w:r>
          </w:p>
        </w:tc>
        <w:tc>
          <w:tcPr>
            <w:tcW w:w="100" w:type="dxa"/>
            <w:vAlign w:val="bottom"/>
          </w:tcPr>
          <w:p>
            <w:pPr>
              <w:spacing w:after="0"/>
              <w:rPr>
                <w:sz w:val="17"/>
                <w:szCs w:val="17"/>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74,859,131</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0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Melanie Alder</w:t>
            </w:r>
            <w:r>
              <w:rPr>
                <w:rFonts w:ascii="Times New Roman" w:cs="Times New Roman" w:eastAsia="Times New Roman" w:hAnsi="Times New Roman"/>
                <w:sz w:val="16"/>
                <w:szCs w:val="16"/>
                <w:color w:val="auto"/>
                <w:vertAlign w:val="superscript"/>
              </w:rPr>
              <w:t>(4)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84,273,417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9,414,286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74,859,131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0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Jason Beesley</w:t>
            </w:r>
            <w:r>
              <w:rPr>
                <w:rFonts w:ascii="Times New Roman" w:cs="Times New Roman" w:eastAsia="Times New Roman" w:hAnsi="Times New Roman"/>
                <w:sz w:val="16"/>
                <w:szCs w:val="16"/>
                <w:color w:val="auto"/>
                <w:vertAlign w:val="superscript"/>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534,123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534,123</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Daniel Gay</w:t>
            </w:r>
            <w:r>
              <w:rPr>
                <w:rFonts w:ascii="Times New Roman" w:cs="Times New Roman" w:eastAsia="Times New Roman" w:hAnsi="Times New Roman"/>
                <w:sz w:val="16"/>
                <w:szCs w:val="16"/>
                <w:color w:val="auto"/>
                <w:vertAlign w:val="superscript"/>
              </w:rPr>
              <w:t>(6)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5,027,981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3,727,981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John Bailey</w:t>
            </w:r>
            <w:r>
              <w:rPr>
                <w:rFonts w:ascii="Times New Roman" w:cs="Times New Roman" w:eastAsia="Times New Roman" w:hAnsi="Times New Roman"/>
                <w:sz w:val="16"/>
                <w:szCs w:val="16"/>
                <w:color w:val="auto"/>
                <w:vertAlign w:val="superscript"/>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27,874,286</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27,874,286</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Scott Hilton</w:t>
            </w:r>
            <w:r>
              <w:rPr>
                <w:rFonts w:ascii="Times New Roman" w:cs="Times New Roman" w:eastAsia="Times New Roman" w:hAnsi="Times New Roman"/>
                <w:sz w:val="16"/>
                <w:szCs w:val="16"/>
                <w:color w:val="auto"/>
                <w:vertAlign w:val="superscript"/>
              </w:rPr>
              <w:t>(8)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37,500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Susan Taylor</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Ann Mather</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All directors and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executive officers as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117,747,307</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10,714,286</w:t>
            </w:r>
          </w:p>
        </w:tc>
        <w:tc>
          <w:tcPr>
            <w:tcW w:w="100" w:type="dxa"/>
            <w:vAlign w:val="bottom"/>
          </w:tcPr>
          <w:p>
            <w:pPr>
              <w:spacing w:after="0"/>
              <w:rPr>
                <w:sz w:val="10"/>
                <w:szCs w:val="10"/>
                <w:color w:val="auto"/>
              </w:rPr>
            </w:pPr>
          </w:p>
        </w:tc>
        <w:tc>
          <w:tcPr>
            <w:tcW w:w="11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107,033,021</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89"/>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 group (8 persons)</w:t>
            </w:r>
            <w:r>
              <w:rPr>
                <w:rFonts w:ascii="Times New Roman" w:cs="Times New Roman" w:eastAsia="Times New Roman" w:hAnsi="Times New Roman"/>
                <w:sz w:val="16"/>
                <w:szCs w:val="16"/>
                <w:color w:val="auto"/>
                <w:vertAlign w:val="superscript"/>
              </w:rPr>
              <w:t>(9)</w:t>
            </w: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5% or Greater</w:t>
            </w: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David Wright and</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84,273,417</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9,414,286</w:t>
            </w:r>
          </w:p>
        </w:tc>
        <w:tc>
          <w:tcPr>
            <w:tcW w:w="100" w:type="dxa"/>
            <w:vAlign w:val="bottom"/>
          </w:tcPr>
          <w:p>
            <w:pPr>
              <w:spacing w:after="0"/>
              <w:rPr>
                <w:sz w:val="10"/>
                <w:szCs w:val="10"/>
                <w:color w:val="auto"/>
              </w:rPr>
            </w:pPr>
          </w:p>
        </w:tc>
        <w:tc>
          <w:tcPr>
            <w:tcW w:w="11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74,859,131</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89"/>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associated entities</w:t>
            </w:r>
            <w:r>
              <w:rPr>
                <w:rFonts w:ascii="Times New Roman" w:cs="Times New Roman" w:eastAsia="Times New Roman" w:hAnsi="Times New Roman"/>
                <w:sz w:val="16"/>
                <w:szCs w:val="16"/>
                <w:color w:val="auto"/>
                <w:vertAlign w:val="superscript"/>
              </w:rPr>
              <w:t>(3)</w:t>
            </w: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Melanie Alder and</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84,273,417</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0" w:type="dxa"/>
            <w:vAlign w:val="bottom"/>
            <w:gridSpan w:val="2"/>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9,414,286</w:t>
            </w:r>
          </w:p>
        </w:tc>
        <w:tc>
          <w:tcPr>
            <w:tcW w:w="1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74,859,131</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21,702,512</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89"/>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associated entities</w:t>
            </w:r>
            <w:r>
              <w:rPr>
                <w:rFonts w:ascii="Times New Roman" w:cs="Times New Roman" w:eastAsia="Times New Roman" w:hAnsi="Times New Roman"/>
                <w:sz w:val="16"/>
                <w:szCs w:val="16"/>
                <w:color w:val="auto"/>
                <w:vertAlign w:val="superscript"/>
              </w:rPr>
              <w:t>(4)</w:t>
            </w: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Entities Affiliated with</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14,888,810</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14,888,810</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Banner Capital</w:t>
            </w:r>
            <w:r>
              <w:rPr>
                <w:rFonts w:ascii="Times New Roman" w:cs="Times New Roman" w:eastAsia="Times New Roman" w:hAnsi="Times New Roman"/>
                <w:sz w:val="16"/>
                <w:szCs w:val="16"/>
                <w:color w:val="auto"/>
                <w:vertAlign w:val="superscript"/>
              </w:rPr>
              <w:t>(10)</w:t>
            </w: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Entities affiliated with</w:t>
            </w: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KL Pattern Holdings</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27,874,286</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27,874,286</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9"/>
        </w:trPr>
        <w:tc>
          <w:tcPr>
            <w:tcW w:w="14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21"/>
                <w:szCs w:val="21"/>
                <w:color w:val="auto"/>
                <w:vertAlign w:val="subscript"/>
              </w:rPr>
              <w:t>LP</w:t>
            </w:r>
            <w:r>
              <w:rPr>
                <w:rFonts w:ascii="Times New Roman" w:cs="Times New Roman" w:eastAsia="Times New Roman" w:hAnsi="Times New Roman"/>
                <w:sz w:val="8"/>
                <w:szCs w:val="8"/>
                <w:color w:val="auto"/>
              </w:rPr>
              <w:t>(7)</w:t>
            </w: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Other Selling</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Entities affiliated with</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5,027,981</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1,300,000</w:t>
            </w:r>
          </w:p>
        </w:tc>
        <w:tc>
          <w:tcPr>
            <w:tcW w:w="1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3,727,981</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KSV Pattern</w:t>
            </w:r>
            <w:r>
              <w:rPr>
                <w:rFonts w:ascii="Times New Roman" w:cs="Times New Roman" w:eastAsia="Times New Roman" w:hAnsi="Times New Roman"/>
                <w:sz w:val="16"/>
                <w:szCs w:val="16"/>
                <w:color w:val="auto"/>
                <w:vertAlign w:val="superscript"/>
              </w:rPr>
              <w:t>(6)</w:t>
            </w: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one percent (1%).</w:t>
      </w:r>
    </w:p>
    <w:p>
      <w:pPr>
        <w:spacing w:after="0" w:line="11" w:lineRule="exact"/>
        <w:rPr>
          <w:sz w:val="20"/>
          <w:szCs w:val="20"/>
          <w:color w:val="auto"/>
        </w:rPr>
      </w:pPr>
    </w:p>
    <w:p>
      <w:pPr>
        <w:ind w:left="320" w:hanging="312"/>
        <w:spacing w:after="0"/>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Series B common stock is convertible at any time at the option of the holder into one share of Series A common stock.</w:t>
      </w:r>
    </w:p>
    <w:p>
      <w:pPr>
        <w:spacing w:after="0" w:line="14" w:lineRule="exact"/>
        <w:rPr>
          <w:rFonts w:ascii="Times New Roman" w:cs="Times New Roman" w:eastAsia="Times New Roman" w:hAnsi="Times New Roman"/>
          <w:sz w:val="14"/>
          <w:szCs w:val="14"/>
          <w:color w:val="auto"/>
        </w:rPr>
      </w:pPr>
    </w:p>
    <w:p>
      <w:pPr>
        <w:ind w:left="340" w:right="80" w:hanging="332"/>
        <w:spacing w:after="0" w:line="256" w:lineRule="auto"/>
        <w:tabs>
          <w:tab w:leader="none" w:pos="33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Series A common stock and Series B common stock, as a single class. The holders of our Series B common stock are entitled to twenty votes per share, and holders of our Series A common stock are entitled to one vote per share. See the section titled “Description of Capital Stock” for more information about the voting rights of our Series A common stock and Series B common stock.</w:t>
      </w:r>
    </w:p>
    <w:p>
      <w:pPr>
        <w:spacing w:after="0" w:line="1" w:lineRule="exact"/>
        <w:rPr>
          <w:rFonts w:ascii="Times New Roman" w:cs="Times New Roman" w:eastAsia="Times New Roman" w:hAnsi="Times New Roman"/>
          <w:sz w:val="14"/>
          <w:szCs w:val="14"/>
          <w:color w:val="auto"/>
        </w:rPr>
      </w:pPr>
    </w:p>
    <w:p>
      <w:pPr>
        <w:ind w:left="340" w:right="80" w:hanging="332"/>
        <w:spacing w:after="0" w:line="257" w:lineRule="auto"/>
        <w:tabs>
          <w:tab w:leader="none" w:pos="33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13,025,879 shares of Series B common stock held by Mr. Wright, (ii) 50,991,952 shares of Series A common stock held by The Wright Irrevocable Trust dated December 5, 2019 of which Mr. Wright serves as an investment trustee, (iii) 107,449 shares of Series A common stock issuable upon the net settlement of outstanding RSUs held by Mr. Wright that would vest based on service-based vesting conditions, assuming any applicable liquidity event condition had been achieved, within 60 days of Beneficial Ownership Date, (iv) an aggregate of 8,676,633 shares of Series B common stock held by Ms. Alder, who is the spouse of Mr. Wright, (v) 35,816 shares of Series A common stock issuable upon the net settlement of outstanding RSUs held by Ms. Alder that would vest based on service-based vesting conditions, assuming any applicable liquidity event condition had been achieved, within 60 days of Beneficial Ownership Date, and (vi) 33,138,200 shares of Series A common stock held by Ms. Alder’s affiliated entities.</w:t>
      </w:r>
    </w:p>
    <w:p>
      <w:pPr>
        <w:spacing w:after="0" w:line="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8,676,633 shares of Series B common stock held by Ms. Alder, (ii) 33,138,200 shares of Series A common stock held by The Alder Irrevocable Trust dated December 5, 2019 of which Ms. Alder serves as an investment trustee, (iii) 35,816 shares of Series A common stock issuable upon the net settlement of outstanding RSUs held by Ms. Alder that would vest based on service-based vesting conditions, assuming any applicable liquidity event condition had been achieved, within 60 days of Beneficial Ownership Date, (iv) an aggregate of 13,025,879 shares of Series B common stock held by Mr. Wright, who is the spouse of Ms. Alder, (v) 107,449 shares of Series A common stock issuable upon the net settlement of outstanding RSUs held by Mr. Wright that would vest based on service-based vesting conditions, assuming any applicable liquidity event condition had been achieved, within 60 days of Beneficial Ownership Date, and (vi) 50,991,952 shares of Series A common stock held by Mr. Wright’s affiliated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3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480" w:hanging="332"/>
        <w:spacing w:after="0" w:line="271" w:lineRule="auto"/>
        <w:tabs>
          <w:tab w:leader="none" w:pos="33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534,123 shares of Series A common stock issuable upon the net settlement of outstanding RSUs that would vest based on service-based vesting conditions, assuming any applicable liquidity event condition had been achieved, within 60 days of Beneficial Ownership Date.</w:t>
      </w:r>
    </w:p>
    <w:p>
      <w:pPr>
        <w:ind w:left="340" w:right="120" w:hanging="332"/>
        <w:spacing w:after="0" w:line="256" w:lineRule="auto"/>
        <w:tabs>
          <w:tab w:leader="none" w:pos="33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3,909,393 shares of Series A common stock held by KSV Pattern, LLC (“KSV Pattern”) and (ii) 1,118,588 shares of Series A common stock held by KSV Pattern II, LLC (“KSV Pattern II”). KSV Pattern and KSV Pattern II are special purpose vehicles set up by KS Global Innovation Partners LLC (the “Managing Member”), on behalf of Kensington-SV Global Innovations LP, for investment into the Company. Mr. Gay is an authorized signer of the Managing Member and has voting and dispositive power with respect to the shares held by KSV Pattern and KSV Pattern II. The mailing address for each of these entities is 222 Lakeview Ave, Suite 800, West Palm Beach, Florida 33401.</w:t>
      </w:r>
    </w:p>
    <w:p>
      <w:pPr>
        <w:spacing w:after="0" w:line="1" w:lineRule="exact"/>
        <w:rPr>
          <w:rFonts w:ascii="Times New Roman" w:cs="Times New Roman" w:eastAsia="Times New Roman" w:hAnsi="Times New Roman"/>
          <w:sz w:val="14"/>
          <w:szCs w:val="14"/>
          <w:color w:val="auto"/>
        </w:rPr>
      </w:pPr>
    </w:p>
    <w:p>
      <w:pPr>
        <w:ind w:left="340" w:right="20" w:hanging="332"/>
        <w:spacing w:after="0" w:line="256" w:lineRule="auto"/>
        <w:tabs>
          <w:tab w:leader="none" w:pos="33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27,874,286 shares of Series A common stock held by KL Pattern Holdings LP. The management of KL Pattern Holdings LP is controlled by KLC Fund I GP LP (“KLC Fund GP”). KLC Fund I UGP LLC (“KLC Fund UGP”) is the general partner of KLC Fund GP. The management of KLC Fund UGP is controlled by its managing member, John Bailey. As such, Mr. Bailey may be deemed to have voting and dispositive power with respect to the shares held by KL Pattern Holdings LP. The address of the entities and individual mentioned in this footnote is c/o Knox Lane LP, 655 Montgomery Street, Suite 1905, San Francisco, California 94111.</w:t>
      </w:r>
    </w:p>
    <w:p>
      <w:pPr>
        <w:spacing w:after="0" w:line="1" w:lineRule="exact"/>
        <w:rPr>
          <w:rFonts w:ascii="Times New Roman" w:cs="Times New Roman" w:eastAsia="Times New Roman" w:hAnsi="Times New Roman"/>
          <w:sz w:val="14"/>
          <w:szCs w:val="14"/>
          <w:color w:val="auto"/>
        </w:rPr>
      </w:pPr>
    </w:p>
    <w:p>
      <w:pPr>
        <w:ind w:left="340" w:right="580" w:hanging="332"/>
        <w:spacing w:after="0" w:line="261" w:lineRule="auto"/>
        <w:tabs>
          <w:tab w:leader="none" w:pos="33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37,500 shares of Series A common stock subject to outstanding RSUs (without giving effect to any net share settlement) that would vest based on service-based vesting conditions, assuming any applicable liquidity event condition had been achieved, within 60 days of Beneficial Ownership Date.</w:t>
      </w:r>
    </w:p>
    <w:p>
      <w:pPr>
        <w:ind w:left="340" w:right="360" w:hanging="332"/>
        <w:spacing w:after="0" w:line="256" w:lineRule="auto"/>
        <w:tabs>
          <w:tab w:leader="none" w:pos="33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aggregate of (i) 677,388 shares of Series A common stock issuable upon the net settlement of outstanding RSUs that would vest based on service-based vesting conditions, assuming any applicable liquidity event condition had been achieved, within 60 days of Beneficial Ownership Date and (ii) 37,500 shares of Series A common stock issuable upon the settlement of outstanding RSUs (without giving effect to any net share settlement) that would vest based on service-based vesting conditions, assuming any applicable liquidity event condition had been achieved, within 60 days of Beneficial Ownership Date.</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5,068,600 shares of Series A common stock held by Banner Capital Fund I, LP (“Banner Fund I”), (ii) 747,094 shares of Series A common stock held by Banner Capital Fund I-A, LP (“Banner Fund I-A”) and (iii) 9,073,116 shares of Series A common stock held by Banner Co-Invest Partners I, LLC (“Banner Co-Invest”). Banner Capital Fund I GP, LP is the general partner of each of Banner Fund I and Banner Fund I-A and is controlled by Banner Capital Holdings, LLC (“Banner Capital Holdings”). Banner Capital Management, LLC (“Banner Capital Management”) is the manager of Banner Co-Invest. Banner Capital Holdings and Banner Capital Management are controlled by Tanner David Ainge, who has sole voting and dispositive power with respect to the shares held by each of Banner Fund I, Banner Fund I-A and Banner Co-Invest. The mailing address for each of these entities is 3600 N Outlet Pkwy, Suite 450, Lehi, Utah 84043.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3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as they are expected to be in effect upon the completion of this offering. We expect to adopt an amended and restated certificate of incorporation and amended and restated bylaws in connection with this offering, and this description summarizes the provisions that are expected to be included in those documents. Because it is only a summary, it does not contain all the information that may be important to you. For a complete description of the matters that are summarized in this section titled “Description of Capital Stock,” you should refer to our amended and restated certificate of incorporation and amended and restated bylaws and our Investors’ Rights Agreement, which are included as exhibits to the registration statement of which this prospectus forms a part, and to the applicable provisions of Delaware law. Immediately following the completion of this offering, our authorized capital stock will consist of 2,200,000,000 shares of Series A common stock, $0.001 par value per share, 100,000,000 shares of Series B common stock, $0.001 par value per share, and 200,000,000 shares of undesignated preferred stock, $0.001 par value per share.</w:t>
      </w:r>
    </w:p>
    <w:p>
      <w:pPr>
        <w:spacing w:after="0" w:line="13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As of June 30, 2025 (after giving effect to the Reclassifications, Convertible Preferred Stock Conversion and Cancellation of Milestone RSUs (as defined below) but not giving effect to the RSU Net Settlement), there were 148,343,553 shares of Series A common stock outstanding, held by 1,476 stockholders of record, 21,702,512 shares of our Series B common stock outstanding, held by three stockholders of record, and no shares of preferred stock outstanding.</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number of shares of our Series A common stock issuable as a result of the Series B Preferred Stock Conversion depends in part on the initial public offering price in this offering. Each share of Series B Preferred Stock converts into a number of shares of Series A common stock determined by dividing the original issue price of such share by the lesser of (a) the original issue price of such share (subject to certain anti-dilution adjustments) and (b) the initial public offering price per share in this offering discounted by 50.0%. Based upon the initial public offering price of $14.00 per share, the outstanding shares of our Series B Preferred Stock will convert into an aggregate of 32,129,234 shares of our Series A common stock. See </w:t>
      </w:r>
      <w:r>
        <w:rPr>
          <w:rFonts w:ascii="Times New Roman" w:cs="Times New Roman" w:eastAsia="Times New Roman" w:hAnsi="Times New Roman"/>
          <w:sz w:val="18"/>
          <w:szCs w:val="18"/>
          <w:i w:val="1"/>
          <w:iCs w:val="1"/>
          <w:color w:val="auto"/>
        </w:rPr>
        <w:t>Note 9—Convertible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in the section titled “Notes to Consolidated Financial Statements” included elsewhere in this prospectus for additional information regarding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Preferred Stock.</w:t>
      </w:r>
    </w:p>
    <w:p>
      <w:pPr>
        <w:spacing w:after="0" w:line="13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Pursuant to the terms of our amended and restated certificate of incorporation as currently in effect, if, immediately after the application of the Series B Preferred Special Conversion Ratio in connection with this offering, the Founder Preferred Stock ownership percentage would be diluted by more than</w:t>
      </w: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3.33%, the number of shares of our existing common stock into which each share of Founder Preferred Stock shall be convertible in connection with the closing of this offering (and the Series A common stock and Series B common stock issuable in the Founder Preferred Stock Reclassifications) shall be increased such that the dilution to the Founder Preferred Stock will be capped at 3.33%; however, no adjustment will be made for any incremental dilution that exceeds 9.00%. Based upon the initial public offering price of $14.00 per share, the aggregate of 86,792,374 outstanding shares of our Founder Preferred Stock will reclassify into an aggregate of 105,833,883 shares of our Series B common stock and Series A common stock. 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section titled “Notes to Unaudited Condensed Consolidated Financial Statements” included elsewhere in this prospectus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regarding our Founder Preferred Stock.</w:t>
      </w:r>
    </w:p>
    <w:p>
      <w:pPr>
        <w:spacing w:after="0" w:line="1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except as required by the corporate governance requirements of Nasdaq, to issue additional shares of our capital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Common Stock and Series B Common Stock</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authorized a series of Series A common stock and a series of Series B common stock. Immediately prior to the completion of this offering, all outstanding shares of our existing common stock, after giving effect to the Convertible Preferred Stock Conversion (including any applicable Series B Preferred Special Conversion Ratio), will be reclassified into an equivalent number of shares of our Series A common stock. All outstanding shares of our existing Founder Voting Preferred Stock will be reclassified into shares of our Series B common stock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131"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outstanding shares of our existing Founder Non-Voting Preferred Stock will be reclassified into shares of our Series A common stock, in each case after giving effect to any applicable Founder Preferred Stock Adjustments.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any RSUs outstanding prior to the completion of this offering will become eligible to be settled in or exercisable for shares of our new Series A common stock. Other than as described below under the subsections titled “—Voting Rights” and “—Conversion”, the rights of our Series A and Series B common stock are identical.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Holders of our Series A common stock are entitled to one vote for each share, and holders of our Series B common stock are entitled to 20 votes per share, on all matters submitted to a vote of stockholders. The holders of our Series A common stock and Series B common stock will generally vote together as a single class on all matters submitted to a vote of our stockholders, unless otherwise required by Delaware law or our amended and restated certificate of incorporation. If we were to seek to amend our amended and restated certificate of incorporation in a manner that alters or changes the powers, preferences or special rights of a series of a class of our capital stock in a manner that affected its holders adversely, but does not affect the entire class, Delaware law would require either holders of our Series A common stock or Series B common stock to vote separately as a single class to approve the proposed amendment.</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7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Each outstanding share of Series B common stock will be convertible at any time at the option of the holder into one share of Series A common stock. In addition, each share of Series B common stock will convert automatically into one share of Series A common stock on the earliest to occur of: (i) any transfer, whether or not for value, except for certain permitted transfers described in our amended and restated certificate of incorporation, including transfers to a co-founder or trusts for the benefit of a holder of Series B common stock or persons other than the stockholder so long as such stockholder has sole dispositive power and exclusive voting control with respect to the shares of Series B common stock held by such trust; (ii) in the case of a stockholder who is a natural person, the death or incapacity of such stockholder, provided that in the case of the death or incapacity of a co-founder, the shares of Series B common stock held by such co-founder will not convert into Series A common stock for so long as the living co-founder retains voting control over such shares of Series B common stock; (iii) the date specified by affirmative vote of the holders of at least 66-2/3% of the outstanding shares of Series B common stock, voting as a single class, and (iv) a Founders Triggering Event. A “Founders Triggering Event” is the first to occur of either of</w:t>
      </w:r>
    </w:p>
    <w:p>
      <w:pPr>
        <w:spacing w:after="0" w:line="6" w:lineRule="exact"/>
        <w:rPr>
          <w:sz w:val="20"/>
          <w:szCs w:val="20"/>
          <w:color w:val="auto"/>
        </w:rPr>
      </w:pPr>
    </w:p>
    <w:p>
      <w:pPr>
        <w:ind w:firstLine="8"/>
        <w:spacing w:after="0" w:line="252" w:lineRule="auto"/>
        <w:tabs>
          <w:tab w:leader="none" w:pos="2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upon which, for both co-founders, the aggregate number of shares of our capital stock and shares underlying any securities (including RSUs, options, or other convertible instruments) held by a co-founder and their permitted transferees represent less than 30% of the Series B common stock held by such co-founder and their permitted transferees as of immediately following the completion of this offering; or (B) the occurrence of a Founders Separation Event for both co-founders. A “Founders Separation Event” means, with respect to a co-founder, (a) the first occurrence of both of (i) such co-founder is no longer actively involved in the business by providing services to us as an officer, employee, consultant or otherwise, and (ii) such co-founder is no longer a director as a result of such co-founder’s voluntary resignation from our board of directors or as a result of a written request or agreement by such co-founder not to be renominated as a director at a meeting of stockholders, or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3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0"/>
        <w:spacing w:after="0" w:line="438" w:lineRule="auto"/>
        <w:rPr>
          <w:sz w:val="20"/>
          <w:szCs w:val="20"/>
          <w:color w:val="auto"/>
        </w:rPr>
      </w:pPr>
      <w:r>
        <w:rPr>
          <w:rFonts w:ascii="Times New Roman" w:cs="Times New Roman" w:eastAsia="Times New Roman" w:hAnsi="Times New Roman"/>
          <w:sz w:val="18"/>
          <w:szCs w:val="18"/>
          <w:color w:val="auto"/>
        </w:rPr>
        <w:t xml:space="preserve">death or incapacity of such co-founder. Once converted into Series A common stock, the Series B common stock will not be reissued. </w:t>
      </w:r>
      <w:r>
        <w:rPr>
          <w:rFonts w:ascii="Times New Roman" w:cs="Times New Roman" w:eastAsia="Times New Roman" w:hAnsi="Times New Roman"/>
          <w:sz w:val="18"/>
          <w:szCs w:val="18"/>
          <w:b w:val="1"/>
          <w:bCs w:val="1"/>
          <w:i w:val="1"/>
          <w:iCs w:val="1"/>
          <w:color w:val="auto"/>
        </w:rPr>
        <w:t>No Preemptive or Similar Rights</w:t>
      </w:r>
    </w:p>
    <w:p>
      <w:pPr>
        <w:spacing w:after="0" w:line="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Series A common stock and Series B common stock are not entitled to preemptive rights and are not subject to conversion (except, with respect to the Series B common stock, as noted above), redemption or sinking fund provisions.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Series A common stock and Series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of the outstanding shares of our Series A common stock and Series B common stock are, and the shares of our Series A common stock to be issued pursuant to this offering will be,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this offering, our board of directors will be authorized, subject to limitations prescribed by Delaware law, to issue preferred stock in one or more class, to establish from time to time the number of shares to be included in each class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class of preferred stock, but not below the number of shares of that class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Series A common stock and the voting and other rights of the holders of our Series A common stock and Series B common stock. We have no current plan to issue any shares of preferred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As of June 30, 2025, we had outstanding RSUs representing 19,897,768 shares of our Series A common stock (after giving effect to the Common Stock Reclassification), issued pursuant to our 2019 Plan. In addition, we had outstanding RSUs awarded to our Chief Executive Officer (“CEO”) in February 2025 under a stand-alone restricted stock unit agreement with vesting subject to the satisfaction of certain service-based, liquidity-based and milestone-based requirements (“Milestone RSUs”). Milestone RSUs representing 8,813,161 shares of our Series A common stock were outstanding as of June 30, 2025, which were subsequently cancelled in August 2025 (“Cancellation of Milestone RSUs”).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Co-Founder Voting Agreement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Immediately prior to the completion of this offering, our co-founders are expected to enter into a co-founder voting agreement. The co-founder voting agreement will provide that an aggregate of 21,702,512 shares of Series B common stock held by the co-founders following the completion of this offering, or approximately 73.8% of the voting power of our common stock, will be subject to a voting proxy given by each co-founder and its affiliated entities (other than the co-founder trusts) to the other co-founder, and an agreement by each co-founder to vote its shares (a) in favor of the election or re-election of each of the co-founders that have been duly nominated for election or re-election as members of our board of directors at each annual or special meeting of stockholders at which directors are to be elected, (b) against the removal of each co-founder at any annual meeting or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3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meeting of stockholders at which any co-founder is to be removed from our board of directors, and (c) at the written direction of the applicable co-founder proxy holder (as defined below) at any annual or special meeting of stockholders with respect to any other matters properly brought before such meeting for which their shares are entitled to vote. The applicable “co-founder proxy holder” shall be either Mr. Wright or Ms. Alder in alternative annual periods during which any applicable annual or special meeting is held. Nothing in the co-founder voting agreement requires either co-founder to serve as a director or stand for re-election.</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co-founder voting agreement does not include shares of our Series A common stock held by the co-founder trusts at the time of the offering, but may include future affiliated entities of the co-founder which may hold Series A common stock or Series B common stock in the future.</w:t>
      </w:r>
    </w:p>
    <w:p>
      <w:pPr>
        <w:spacing w:after="0" w:line="108" w:lineRule="exact"/>
        <w:rPr>
          <w:sz w:val="20"/>
          <w:szCs w:val="20"/>
          <w:color w:val="auto"/>
        </w:rPr>
      </w:pPr>
    </w:p>
    <w:p>
      <w:pPr>
        <w:ind w:right="720"/>
        <w:spacing w:after="0" w:line="438" w:lineRule="auto"/>
        <w:rPr>
          <w:sz w:val="20"/>
          <w:szCs w:val="20"/>
          <w:color w:val="auto"/>
        </w:rPr>
      </w:pPr>
      <w:r>
        <w:rPr>
          <w:rFonts w:ascii="Times New Roman" w:cs="Times New Roman" w:eastAsia="Times New Roman" w:hAnsi="Times New Roman"/>
          <w:sz w:val="18"/>
          <w:szCs w:val="18"/>
          <w:color w:val="auto"/>
        </w:rPr>
        <w:t xml:space="preserve">We are not a party to the co-founder voting agreement, and the co-founders can modify or terminate the co-founder voting agreement at any time. </w:t>
      </w:r>
      <w:r>
        <w:rPr>
          <w:rFonts w:ascii="Times New Roman" w:cs="Times New Roman" w:eastAsia="Times New Roman" w:hAnsi="Times New Roman"/>
          <w:sz w:val="18"/>
          <w:szCs w:val="18"/>
          <w:b w:val="1"/>
          <w:bCs w:val="1"/>
          <w:color w:val="auto"/>
        </w:rPr>
        <w:t>Registration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completion of this offering, certain holders of our Series A common stock will be entitled to rights with respect to the registration of their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 These registration rights are contained in the Investors’ Rights Agreement. We, along with certain holders of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parties to the Investors’ Rights Agreement. The registration rights set forth in the Investors’ Rights Agreement will expire five years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completion of this offering, or, with respect to any particular stockholder, following the completion of this offering, when such stockholder is able to sell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shares pursuant to Rule 144 of the Securities Act. We will pay the registration expenses (other than underwriting discounts, selling commissions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transfer taxes) of the holders of the shares registered pursuant to the registrations described below, including the reasonable fees,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of one counsel for the selling holders. In an underwritten offering, the underwriters have the right, subject to specified conditions, to limit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such holders may include. In connection with this offering, each stockholder that has registration rights has agreed not to sell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dispose of any securities without the prior written consent of Goldman Sachs &amp; Co. LLC and J.P. Morgan Securities LLC for a period of 180 days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this prospectus, subject to certain terms and conditions. See the section titled “Underwriting” for more information regarding such restrictions.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 on Form S-1</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the holders of up to approximately 46,579,711 shares of our Series A common stock will be entitled to certain demand registration rights. At any time beginning 180 days after the effective date of the registration statement of which this prospectus forms a part, the holders of at least a majority of these shares then outstanding may request that we register the offer and sale of their shares on a registration statement on Form S-1, so long as the request covers at least 40% of the shares registrable pursuant to the Investors’ Rights Agreement or such lesser percentage if the anticipated aggregate offering price, net of selling expenses, would exceed $10.0 million, subject to certain limitations. We are obligated to effect only two such registrations in the aggregate. If we determine that it would be materially detrimental to us and our stockholders to affect such a demand registration, we have the right to defer such registration, not more than twice in any 12-month period, for a period of not more than 60 days. Additionally, we will not be required to effect a demand registration on Form S-1 during the period beginning 60 days before our good faith estimate of the filing of, and ending on the date 180 days following the effectiveness of, a registration statement on Form S-1 relating to the public offering of our common stock. Additionally, we will not be required to effect a demand registration on Form S-1 if the requesting stockholders propose to dispose of shares of our common stock that may be immediately registered pursuant to a demand registration on Form S-3 (as described in the subsection titled “—Demand Registration Rights on Form S-3”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if we propose to register the offer and sale of our common stock under the Securities Act, in connection with the public offering of such common stock, the holders of up to approximately 46,579,711 shares of our Series A common stock will be entitled to certain “piggyback” registration rights allowing such holders to include their shares in such registration, subject to certain marketing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31" w:right="3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limitations. As a result, whenever we propose to file a registration statement under the Securities Act, other than with respect to (i) a registration relating to the sale or grant of securities to our employees or a subsidiary pursuant to any stock option, stock purchase, equity incentive or similar plan, (ii) a registration relating to a transaction under Rule 145 of the Securities Act; (iii) a registration on any form that does not include substantially the same information as would be required to be included in a registration statement covering the sale of our Series A common stock; or (iv)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 on Form S-3</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the holders of up to approximately 46,579,711 shares of our Series A common stock will be entitled to certain Form S-3 registration rights. The holders of at least 20%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net of selling expenses, of at least $3.0 million, subject to certain limitations. These stockholders may make an unlimited number of requests for registration on Form S-3; however, we will not be required to affect a registration on Form S-3 if we have affected one such registration in the 12-month period immediately preceding the date of such request. If we determine that it would be materially detrimental to our stockholders to affect such a registration, we have the right to defer such registration, not more than twice in any 12-month period, for a period of not more than 60 days. Additionally, we will not be required to effect a demand registration on Form S-3 during the period beginning 30 days before our good faith estimate of the filing of, and ending on the date 90 days following the effectiveness of, a registration statement on Form S-3 relating to the public offering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106" w:lineRule="exact"/>
        <w:rPr>
          <w:sz w:val="20"/>
          <w:szCs w:val="20"/>
          <w:color w:val="auto"/>
        </w:rPr>
      </w:pPr>
    </w:p>
    <w:p>
      <w:pPr>
        <w:ind w:left="660" w:hanging="328"/>
        <w:spacing w:after="0" w:line="261"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Dual-Series Stock</w:t>
      </w:r>
      <w:r>
        <w:rPr>
          <w:rFonts w:ascii="Times New Roman" w:cs="Times New Roman" w:eastAsia="Times New Roman" w:hAnsi="Times New Roman"/>
          <w:sz w:val="18"/>
          <w:szCs w:val="18"/>
          <w:color w:val="auto"/>
        </w:rPr>
        <w:t>. As described above in the subsection titled “—Series A Common Stock and Series B Common Stock—Voting Rights,”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certificate of incorporation will provide for a dual-series common stock structure, which will provide our co-founders with significant influence over all matters requiring stockholder approval, including the election of directors and significant corporate transactions, such as a merger or other sale of our company or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3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60" w:hanging="328"/>
        <w:spacing w:after="0" w:line="257"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amended and restated certificate of incorporation will authorize our co-founders and our board of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fill vacant directorships, including newly created seats. In addition, the number of directors constituting our board of directors will be permitted to be set only by a resolution adopted by a majority vote of our entire board of directors. These provisions would prevent another party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128"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amended and restated certificate of incorporation and amended and restated bylaws will provide that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127" w:lineRule="exact"/>
        <w:rPr>
          <w:rFonts w:ascii="Times New Roman" w:cs="Times New Roman" w:eastAsia="Times New Roman" w:hAnsi="Times New Roman"/>
          <w:sz w:val="18"/>
          <w:szCs w:val="18"/>
          <w:color w:val="auto"/>
        </w:rPr>
      </w:pPr>
    </w:p>
    <w:p>
      <w:pPr>
        <w:ind w:left="660" w:hanging="328"/>
        <w:spacing w:after="0" w:line="272" w:lineRule="auto"/>
        <w:tabs>
          <w:tab w:leader="none" w:pos="65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Action; Special Meeting of Stockholders. Our amended and restated certificate of incorporation will provide that if our co-founders collectively own greater than 50% of the voting power of our outstanding capital stock, (i) our stockholders shall have the right to take action by written consent to the extent the written consent sets forth the action so taken and is signed by the holders of outstanding stock having not less than the minimum number of votes that would be necessary to authorize or take such action at a meeting; and (ii) a special meeting of our stockholders may be called by holders of at least 50% of the voting power of our outstanding capital stock. Once our co-founders no longer control 50% of the voting power of our capital stock, special meetings of our stockholders can be called only by our board of directors or the Chairman of our board of directors (prior to such time, special meetings of our stockholders shall be called by our board of directors, the Chairman of our board of directors or our Secretary at the request of our co-founders who hold more than 50% of the voting power of our outstanding capital stock).</w:t>
      </w:r>
    </w:p>
    <w:p>
      <w:pPr>
        <w:spacing w:after="0" w:line="115" w:lineRule="exact"/>
        <w:rPr>
          <w:rFonts w:ascii="Times New Roman" w:cs="Times New Roman" w:eastAsia="Times New Roman" w:hAnsi="Times New Roman"/>
          <w:sz w:val="17"/>
          <w:szCs w:val="17"/>
          <w:color w:val="auto"/>
        </w:rPr>
      </w:pPr>
    </w:p>
    <w:p>
      <w:pPr>
        <w:ind w:left="660" w:right="40" w:hanging="328"/>
        <w:spacing w:after="0" w:line="25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will provide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28" w:lineRule="exact"/>
        <w:rPr>
          <w:rFonts w:ascii="Times New Roman" w:cs="Times New Roman" w:eastAsia="Times New Roman" w:hAnsi="Times New Roman"/>
          <w:sz w:val="18"/>
          <w:szCs w:val="18"/>
          <w:color w:val="auto"/>
        </w:rPr>
      </w:pPr>
    </w:p>
    <w:p>
      <w:pPr>
        <w:ind w:left="660" w:right="180" w:hanging="328"/>
        <w:spacing w:after="0" w:line="315" w:lineRule="auto"/>
        <w:tabs>
          <w:tab w:leader="none" w:pos="65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Cumulative Voting</w:t>
      </w:r>
      <w:r>
        <w:rPr>
          <w:rFonts w:ascii="Times New Roman" w:cs="Times New Roman" w:eastAsia="Times New Roman" w:hAnsi="Times New Roman"/>
          <w:sz w:val="17"/>
          <w:szCs w:val="17"/>
          <w:color w:val="auto"/>
        </w:rPr>
        <w:t>. The DGCL provides that stockholders are not entitled to cumulate votes in the election of directors unless a corporation’s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of incorporation provides otherwise. Our amended and restated certificate of incorporation will not provide for cumulative voting.</w:t>
      </w:r>
    </w:p>
    <w:p>
      <w:pPr>
        <w:spacing w:after="0" w:line="80" w:lineRule="exact"/>
        <w:rPr>
          <w:rFonts w:ascii="Times New Roman" w:cs="Times New Roman" w:eastAsia="Times New Roman" w:hAnsi="Times New Roman"/>
          <w:sz w:val="17"/>
          <w:szCs w:val="17"/>
          <w:color w:val="auto"/>
        </w:rPr>
      </w:pPr>
    </w:p>
    <w:p>
      <w:pPr>
        <w:ind w:left="660" w:hanging="328"/>
        <w:spacing w:after="0" w:line="315" w:lineRule="auto"/>
        <w:tabs>
          <w:tab w:leader="none" w:pos="65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Removal of Directors</w:t>
      </w:r>
      <w:r>
        <w:rPr>
          <w:rFonts w:ascii="Times New Roman" w:cs="Times New Roman" w:eastAsia="Times New Roman" w:hAnsi="Times New Roman"/>
          <w:sz w:val="17"/>
          <w:szCs w:val="17"/>
          <w:color w:val="auto"/>
        </w:rPr>
        <w:t>. Our amended and restated certificate of incorporation will provide that if our co-founders collectively own greater than 50%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voting power of our outstanding capital stock, a majority of our stockholders shall have the right to remove directors with or without cause.</w:t>
      </w:r>
    </w:p>
    <w:p>
      <w:pPr>
        <w:spacing w:after="0" w:line="80" w:lineRule="exact"/>
        <w:rPr>
          <w:rFonts w:ascii="Times New Roman" w:cs="Times New Roman" w:eastAsia="Times New Roman" w:hAnsi="Times New Roman"/>
          <w:sz w:val="17"/>
          <w:szCs w:val="17"/>
          <w:color w:val="auto"/>
        </w:rPr>
      </w:pPr>
    </w:p>
    <w:p>
      <w:pPr>
        <w:ind w:left="660" w:right="100" w:hanging="328"/>
        <w:spacing w:after="0" w:line="261"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will have the authority, without further action by the stockholders, to issue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25" w:lineRule="exact"/>
        <w:rPr>
          <w:rFonts w:ascii="Times New Roman" w:cs="Times New Roman" w:eastAsia="Times New Roman" w:hAnsi="Times New Roman"/>
          <w:sz w:val="18"/>
          <w:szCs w:val="18"/>
          <w:color w:val="auto"/>
        </w:rPr>
      </w:pPr>
    </w:p>
    <w:p>
      <w:pPr>
        <w:ind w:left="660" w:right="220" w:hanging="328"/>
        <w:spacing w:after="0" w:line="290" w:lineRule="auto"/>
        <w:tabs>
          <w:tab w:leader="none" w:pos="65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Exclusive Forum</w:t>
      </w:r>
      <w:r>
        <w:rPr>
          <w:rFonts w:ascii="Times New Roman" w:cs="Times New Roman" w:eastAsia="Times New Roman" w:hAnsi="Times New Roman"/>
          <w:sz w:val="17"/>
          <w:szCs w:val="17"/>
          <w:color w:val="auto"/>
        </w:rPr>
        <w:t>. Our amended and restated bylaws will provide that, unless we consent in writing to the selection of an alternative forum,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Court of Chancery of the State of Delaware shall be the sole and exclusive forum for state law claims for (i) any derivative action or proceeding brought on our behalf, (ii) any action asserting a claim of, or a claim based on, a breach of a fiduciary duty owed by any of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3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18"/>
          <w:szCs w:val="18"/>
          <w:color w:val="auto"/>
        </w:rPr>
        <w:t>or former directors, officers and employees to us or our stockholders, (iii) any action asserting a claim against us, or any current or former director, officer or employee of ours, arising out of or pursuant to the DGCL, our amended and restated certificate of incorporation or our amended and restated bylaws or as to which the DGCL confers jurisdiction on the Court of Chancery of the State of Delaware or (iv) any action asserting a claim governed by the internal affairs doctrine; provided, however, that this provision does not apply to any causes of action arising under the Securities Act or the Exchange Act, or to any claim for which the federal courts have exclusive jurisdiction. In addition, our amended and restated bylaws will provide that, unless we consent in writing to the selection of an alternative forum, the federal district courts of the United States will be the sole and exclusive forum for resolving any complaint asserting a cause of action arising under the Securities Act, the Exchange Act or the respective rules and regulations promulgated thereunder. To the fullest extent permitted by law, any person or entity purchasing or otherwise acquiring any interest in our securities will be deemed to have notice of and to have consented to these forum provisions. These forum provisions may impose additional litigation costs on stockholders in pursuing any such claims, particularly if the stockholders do not reside in or near the State of Delaware. Additionally, the forum selection clause that will be in our amended and restated bylaws may limit our stockholders’ ability to bring a claim in a judicial forum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the federal forum selection provisions purporting to require claims under the Securities Act be brought in federal court, there is uncertainty as to whether other courts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3" w:lineRule="exact"/>
        <w:rPr>
          <w:sz w:val="20"/>
          <w:szCs w:val="20"/>
          <w:color w:val="auto"/>
        </w:rPr>
      </w:pPr>
    </w:p>
    <w:p>
      <w:pPr>
        <w:ind w:left="660" w:hanging="328"/>
        <w:spacing w:after="0" w:line="25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Conflicts of Interest</w:t>
      </w:r>
      <w:r>
        <w:rPr>
          <w:rFonts w:ascii="Times New Roman" w:cs="Times New Roman" w:eastAsia="Times New Roman" w:hAnsi="Times New Roman"/>
          <w:sz w:val="18"/>
          <w:szCs w:val="18"/>
          <w:color w:val="auto"/>
        </w:rPr>
        <w:t>. The DGCL permits corporations to adopt provisions renouncing any interest or expectancy in certain opportunities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to the corporation or its officers, directors or stockholders. Our amended and restated certificate of incorporation, to the maximum extent permitted from time to time by the DGCL, will renounce any interest or expectancy that we have in, or right to be offered an opportunity to participate in, specified business opportunities that are from time to time presented to Knox Lane LP or KSV Pattern, LLC or their respective affiliates or any of their respective directors, principals, members, officers, associated funds, employees, and/or other representatives, including any of the foregoing who serve as our directors who are not our employees, which we collectively refer to as Identified Persons. Our amended and restated certificate of incorporation will provide that, to the fullest extent permitted by law, neither Knox Lane LP nor KSV Pattern, LLC nor any of their respective affiliates or Identified Persons will have any duty to refrain from (i) engaging in a corporate opportunity in the same or similar lines of business in which we or our affiliates now engage or propose to engage or (ii) otherwise competing with us or our affiliates. In addition, in the event that any Identified Person acquires knowledge of a potential transaction or other matter or business opportunity which may be a corporate opportunity for itself, herself or himself or for us or our affiliates, such person, to the fullest extent permitted by law, will have no fiduciary duty or other duty to communicate, present or offer such transaction or business opportunity to us or any of our affiliates and will not be liable to us, our stockholders or our affiliates for breach of any fiduciary duty or other duty as a stockholder, director or officer of our company solely by reason such person pursues or acquires such corporate opportunity for itself, herself or himself, offers or directs such corporate opportunity to another person, or does not present such corporate opportunity to us or our affiliates. Our amended and restated certificate of incorporation will not renounce our interest in any corporate opportunity that is expressly offered to any of our directors or officers in writing solely in his or her capacity as a director or officer of our company. No corporate opportunity will be deemed to be a potential corporate opportunity for us if it is a business opportunity our company is not financially or legally able or contractually permitted to undertake, or that is, from its nature, not in the line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3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648"/>
        <w:spacing w:after="0" w:line="438" w:lineRule="auto"/>
        <w:rPr>
          <w:sz w:val="20"/>
          <w:szCs w:val="20"/>
          <w:color w:val="auto"/>
        </w:rPr>
      </w:pPr>
      <w:r>
        <w:rPr>
          <w:rFonts w:ascii="Times New Roman" w:cs="Times New Roman" w:eastAsia="Times New Roman" w:hAnsi="Times New Roman"/>
          <w:sz w:val="18"/>
          <w:szCs w:val="18"/>
          <w:color w:val="auto"/>
        </w:rPr>
        <w:t xml:space="preserve">company’s business or is of no practical advantage to us or that is one in which our company has no interest or reasonable expectancy. </w:t>
      </w:r>
      <w:r>
        <w:rPr>
          <w:rFonts w:ascii="Times New Roman" w:cs="Times New Roman" w:eastAsia="Times New Roman" w:hAnsi="Times New Roman"/>
          <w:sz w:val="18"/>
          <w:szCs w:val="18"/>
          <w:b w:val="1"/>
          <w:bCs w:val="1"/>
          <w:color w:val="auto"/>
        </w:rPr>
        <w:t>Transfer Agent and Registrar</w:t>
      </w:r>
    </w:p>
    <w:p>
      <w:pPr>
        <w:spacing w:after="0" w:line="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Series A common stock and Series B common stock will be Computershare Inc. The transfer agent’s address is 150 Royall St, Canton, MA 02021.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approved to list our Series A common stock on the Nasdaq Global Select Market under the symbol “PTRN”.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320"/>
          </w:cols>
          <w:pgMar w:left="320" w:top="131" w:right="12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Series A common stock, and we cannot predict the effect, if any, that future sales of shares of our Series A common stock or the availability for future sales of shares of our Series A common stock will have on the market price of our Series A common stock prevailing from time to time. Future sales of our Series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Series A common stock in the public market after such restrictions lapse, or the perception that those sales may occur, could adversely affect the prevailing market price at such time and our ability to raise equity capital in the future.</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based on the number of shares of our common stock outstanding as of June 30, 2025, we will have a total of 154,317,165 shares of our Series A common stock and 21,702,512 shares of our Series B common stock outstanding, assuming (i) the Reclassifications, (ii) the Convertible Preferred Stock Conversion and (iii) the RSU Net Settlement. For information on the conversion provisions applicable to our Series B Preferred Stock and Founder Preferred Stock, see the sections titled “Capitalization—Series B Preferred Stock Conversion” and “Capitalization—Founder Preferred Stock Adjustments.” Of these outstanding shares, all of the shares of Series A common stock sold in this offering by us and the selling stockholders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3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remaining outstanding shares of our Series A and Series B common stock, and shares of Series A common stock issuable pursuant to the vesting and settlement of outstanding RSUs, will be deemed “restricted securities” as defined in Rule 144. Restricted securities may be sold in the public market only if they are registered or if they qualify for an exemption from registration under Rule 144 or Rule 701 under the Securities Act, which are summarized below. In addition, all of our executive officers, directors and holders of substantially all of our common stock and securities convertible into or exchangeable for our common stock have entered into market standoff agreements with us or lock-up agreements with the underwriters under which they have agreed, subject to specific exceptions, not to sell any of our stock for a period ending on the earlier of (i) the opening of trading on the second business day immediately following our public release of earnings for the second quarter following the most recent period for which financial statements are included in this prospectus and (ii) the 180th day following the date of this prospectus. Subject to these lock-up agreements and the provisions of Rule 144 under the Securities Act, as well as our insider trading policy, these restricted securities will be available for sale in the public market after the date of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 and Market Standoff Provisions</w:t>
      </w:r>
    </w:p>
    <w:p>
      <w:pPr>
        <w:spacing w:after="0" w:line="1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and our officers, directors, the selling stockholders and holders of substantially all of our common stock and securities convertible into or exchangeable for shares of our common stock have agreed with the underwriters that, subject to certain exceptions, the earlier of (i) the opening of trading on the second business day immediately following our public release of earnings for the second quarter following the most recent period for which financial statements are included in this prospectus and (ii) the date that is 180 days after the date of this prospectus, we and they will not, without the prior written consent</w:t>
      </w:r>
    </w:p>
    <w:p>
      <w:pPr>
        <w:spacing w:after="0" w:line="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of Goldman Sachs &amp; Co. LLC and J.P. Morgan Securities LLC, transfer, dispose of or hedge any shares of our common stock or any securities convertible into or exchangeable for shares of our common stock. Goldman Sachs &amp; Co. LLC and J.P. Morgan Securities LLC, in their sole discretion, may release any of the securities subject to these lock-up agreements at any time. These agreements are further described in the section titled “Underwriting.”</w:t>
      </w:r>
    </w:p>
    <w:p>
      <w:pPr>
        <w:spacing w:after="0" w:line="1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including our Investors’ Rights Agreement and our standard form of restricted stock unit agreements, that contain market stand-off provisions, which impose restrictions on the ability of such security holders to offer, sell or transfer our equity securities for a period of 180 days following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3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agreed to enforce all such market standoff restrictions on behalf of the representatives and not to amend or waive any such market standoff agreements during the lock-up period, unless the waiver is with the prior written consent of the representatives or in the same manner as such restrictions would be waived had such security holder entered into the lock-up agreement described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upon expiration of the lock-up agreements and market standoff agreements described above. Beginning 90 days after the date of this prospectus, within any three-month period, such stockholders may sell a number of shares that does not exceed the greater of:</w:t>
      </w:r>
    </w:p>
    <w:p>
      <w:pPr>
        <w:spacing w:after="0" w:line="122" w:lineRule="exact"/>
        <w:rPr>
          <w:sz w:val="20"/>
          <w:szCs w:val="20"/>
          <w:color w:val="auto"/>
        </w:rPr>
      </w:pPr>
    </w:p>
    <w:p>
      <w:pPr>
        <w:ind w:left="660" w:right="18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Series A common stock then outstanding, which will equal approximately 1,543,172 shares immediately after the completion of this offering; or</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Series A common stock during the four calendar weeks preceding the filing of a notice on Form 144 with respect to that sale.</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Rule 701, as currently in effect, generally allows a stockholder who acquired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Investors’ Rights Agreement, the holders of up to 46,579,711 shares of our Series A common stock and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all of the shares of our Series A common stock issued or reserved for issuance under our 2019 Plan, our 2025 Plan and our ESPP.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3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covered by this registration statement will be eligible for sale in the public market, subject to the Rule 144 limitations applicable to affiliates, vesting restrictions and any applicable lock-up agreements, and market standoff agreements. As of June 30, 2025, RSUs to purchase a total of 19,897,768 shares of our Series A common stock (after giving effect to the Common Stock Reclassification) pursuant to our 2019 Plan were outstanding and no RSUs or other equity awards were outstanding under our 2025 Plan. Milestone RSUs to purchase a total of 8,813,161 shares of our Series A common stock (after giving effect to the Reclassifications) pursuant to a stand-alone restricted stock unit award agreement were outstanding as of June 30, 2025, which were subsequently cancelled in August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00"/>
          </w:cols>
          <w:pgMar w:left="320" w:top="131" w:right="3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SERIES A COMMON STOCK</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relating to the ownership and disposition of our Series A common stock by a non-U.S. holder. For purposes of this discussion, the term “non-U.S. holder” means a beneficial owner of our Series A common stock that is not, for U.S. federal income tax purposes:</w:t>
      </w:r>
    </w:p>
    <w:p>
      <w:pPr>
        <w:spacing w:after="0" w:line="122"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existing, proposed and temporary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Internal Revenue Service (“IRS”) regarding the matters discussed below. Any change could alter the tax consequences to non-U.S. holders described in this prospectus. In addition, the IRS could challenge one or more of the tax consequences described in this prospectus.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assume in this discussion that each non-U.S. holder holds shares of our Series A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33"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international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and entities all of the interests of which are held by qualified foreign pension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20"/>
          </w:cols>
          <w:pgMar w:left="320" w:top="131" w:right="3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 that hold our Series A common stock as part of a straddle, hedge, conversion transaction, synthetic security or other integrated investment;</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more than five percent of our capital stock (except to the extent specifically set forth below);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Series A common stock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apply Section 1400Z-2 of the Code to gains recognized with respect to shares of our Series A common stock; or</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Series A common stock pursuant to the exercise of any warrant or option; persons who acquire our Series A common stock as compensation for services; persons subject to special tax accounting rules as a result of any item of gross income with respect to our Series A common stock being taken into account in an “applicable financial statement” as defined in Section 451(b) of the Code.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Series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Series A common stock through a partnership or other transparent entity, as applicable.</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discussion of certain material U.S. federal income tax considerations is for general information only. It is not tax advice. Prospective investors should consult their own tax advisors regarding the particular U.S. federal, state and local and non-U.S. tax consequences to them of acquiring, holding and disposing of our Series A common stock, including the consequences of any proposed changes in applicable laws and the application of any applicable income tax treaty.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Series A Common Stock</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do not expect to pay any dividends in the foreseeable future. See the section titled “Dividend Policy.” However, in the event that we do pay distributions of cash or property on our Series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Series A common stock. Any remaining excess will be treated as capital gain, subject to the tax treatment described below under the heading “Gain on Sale, Exchange or Other Taxable Disposition of Series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00"/>
          </w:cols>
          <w:pgMar w:left="320" w:top="131" w:right="3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the applicable withholding agent are unable to determine, at a time reasonably close to the date of payment of a distribution on our Series A common stock, what portion, if any, of the distribution will constitute a dividend, then we or the applicable withholding agent may withhold U.S. federal income tax on the basis of assuming that the full amount of the distribution will be a dividend. If we or another withholding agent withhold more than is required or if a non-U.S. holder does not timely provide us with the required certification, the non-U.S. holder may be entitled to a refund or credit of any excess tax withheld by timely filing an appropriate claim with the IRS.</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non-U.S. holder of our Series A common stock who claims the benefit of an applicable income tax treaty between the United States and such holder’s country of residence with respect to U.S. withholding taxes generally will be required to provide a valid,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requires,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and timely provide us or the applicable withholding agent with a valid, properly executed IRS Form W-8ECI properly certifying such exemption. However, such U.S. effectively connected income is generally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 subject to any applicable qualification rules contained in such treaty.</w:t>
      </w:r>
    </w:p>
    <w:p>
      <w:pPr>
        <w:spacing w:after="0" w:line="1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Series A Common Stock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Series A common stock unless:</w:t>
      </w:r>
    </w:p>
    <w:p>
      <w:pPr>
        <w:spacing w:after="0" w:line="122" w:lineRule="exact"/>
        <w:rPr>
          <w:sz w:val="20"/>
          <w:szCs w:val="20"/>
          <w:color w:val="auto"/>
        </w:rPr>
      </w:pPr>
    </w:p>
    <w:p>
      <w:pPr>
        <w:ind w:left="660" w:hanging="328"/>
        <w:spacing w:after="0" w:line="258"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generally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12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in the taxable year of the disposition (treating portions of a day as a full day for purposes of this calculation) and certain other conditions are met, in which case the non-U.S. holder will be subject to U.S. federal income tax at a rate of 30% (or such lower rate as may be specified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20"/>
          </w:cols>
          <w:pgMar w:left="320" w:top="131" w:right="3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108" w:lineRule="exact"/>
        <w:rPr>
          <w:sz w:val="20"/>
          <w:szCs w:val="20"/>
          <w:color w:val="auto"/>
        </w:rPr>
      </w:pPr>
    </w:p>
    <w:p>
      <w:pPr>
        <w:ind w:left="660" w:hanging="328"/>
        <w:spacing w:after="0" w:line="253"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were a “United States real property holding corporation” during a certain look-back period, unless our Series A common stock is regularly traded on an established securities market and the non-U.S. holder held no more than five percent of our outstanding Series A common stock, directly or indirectly, actually or constructively, during the shorter of the five-year period ending on the date of the disposition or the period that the non-U.S. holder held our Series A common stock. In such case, such non-U.S. holder generally will be taxed on its net gain derived from the disposition at the graduated U.S. federal income tax rates applicable to United States persons, as defined in the Code. Generally, a corporation is a “United States real property holding corporation” if the fair market value of its “United States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 No assurance can be provided that our Series A common stock will be regularly traded on an established securities market for purposes of the rules described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(or the applicable paying agent) must report annually to the IRS and to each non-U.S. holder the gross amount of the distributions on our Series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Series A common stock. Generally, a holder will comply with such procedures if it provides a valid, properly executed IRS Form W-8BEN or W-8BEN-E or otherwise meets documentary evidence requirements for establishing that it is a non-U.S. holder, or otherwise establishes an exemption. However, information returns are required to be filed with the IRS in connection with any dividends on our common stock paid to the Non-U.S. Holder, regardless of whether any tax was actually withheld.</w:t>
      </w:r>
    </w:p>
    <w:p>
      <w:pPr>
        <w:spacing w:after="0" w:line="13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Series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2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and associated guidance (collectively, “FATCA”) generally impose a 30% withholding tax on any “withholdable payment”,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20"/>
          </w:cols>
          <w:pgMar w:left="320" w:top="131" w:right="3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certain foreign entities that are not financial institutions, unless such entity provides the withholding agent with a certification identifying the substantial U.S. owners of the entity (which generally includes any United States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Series A common stock. Currently proposed U.S. Treasury Regulations (the preamble to which specifies that taxpayers are permitted to rely on them pending finalization)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00"/>
          </w:cols>
          <w:pgMar w:left="320" w:top="131" w:right="3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the selling stockholders and the underwriters named below have entered into an underwriting agreement with respect to the shares of Series A common stock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6,581,633</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 Morgan Securities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6,581,633</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Evercore Group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2,272,959</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Jefferies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2,272,959</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619,898</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BMO Capital Markets Corp.</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619,898</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619,898</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Needham &amp; Company,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619,898</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619,898</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619,898</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21,428,572</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3,214,285 shares from the co-founder trusts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the Company and the selling stockholders. Such amounts are shown assuming both no exercise and full exercise of the underwriters’ option to purchase 3,214,285 additional shares from the co-founder trusts.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by the Company</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40" w:type="dxa"/>
            <w:vAlign w:val="bottom"/>
          </w:tcPr>
          <w:p>
            <w:pPr>
              <w:spacing w:after="0"/>
              <w:rPr>
                <w:sz w:val="16"/>
                <w:szCs w:val="16"/>
                <w:color w:val="auto"/>
              </w:rPr>
            </w:pPr>
          </w:p>
        </w:tc>
        <w:tc>
          <w:tcPr>
            <w:tcW w:w="13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10,500,000</w:t>
            </w:r>
          </w:p>
        </w:tc>
      </w:tr>
      <w:tr>
        <w:trPr>
          <w:trHeight w:val="44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by the Selling Stockholders</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40" w:type="dxa"/>
            <w:vAlign w:val="bottom"/>
          </w:tcPr>
          <w:p>
            <w:pPr>
              <w:spacing w:after="0"/>
              <w:rPr>
                <w:sz w:val="24"/>
                <w:szCs w:val="24"/>
                <w:color w:val="auto"/>
              </w:rPr>
            </w:pPr>
          </w:p>
        </w:tc>
        <w:tc>
          <w:tcPr>
            <w:tcW w:w="13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3"/>
        </w:trPr>
        <w:tc>
          <w:tcPr>
            <w:tcW w:w="8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13,650,000</w:t>
            </w:r>
          </w:p>
        </w:tc>
      </w:tr>
    </w:tbl>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$0.5880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6"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 Company and its officers, directors and holders of substantially all of the Company’s capital stock, including the selling stockholders, have agreed, with the underwriters, subject to certain exceptions, not to dispose of or hedge any of their Series A common stock or securities convertible into or exchangeable for shares of common stock during the period from the date of this prospectus continuing through the earlier of (i) the opening of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3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the second business day immediately following the Company’s public release of earnings for the second quarter following the most recent period for which financial statements are included in this prospectus and (ii) the date 180 days after the date of this prospectus, except with the prior written consent of Goldman Sachs &amp; Co. LLC and J.P. Morgan Securities LLC. See the section titled “Shares Eligible for Future Sale” for a discussion of certain transfer restrictions.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Goldman Sachs &amp; Co. LLC and J.P. Morgan Securities LLC, in their sole discretion, may release the shares of common stock and other securities subject to the lock-up agreements described above in whole or in part at any time.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has been negotiated among the Company and the representatives. Among the factors considered in determining the initial public offering price of the shares, in addition to prevailing market conditions, was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been approved to list its Series A common stock on the Nasdaq Global Select Market under the symbol “PTRN”.</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its officers, directors, and holders of substantially all of its Series A common stock and securities convertible into or exchangeable for shares of the Company’s Series A common stock, including the selling stockholders, have agreed with the underwriters that, subject to certain exceptions, the Company and they will not, in accordance with the terms of such agreements, during the period ending on the earlier of (i) the opening of trading on the second business day immediately following the Company’s public release of earnings for the second quarter following the most recent period for which financial statements are included in this prospectus and (ii) the 180th day after the date of this prospectus:</w:t>
      </w:r>
    </w:p>
    <w:p>
      <w:pPr>
        <w:spacing w:after="0" w:line="129" w:lineRule="exact"/>
        <w:rPr>
          <w:sz w:val="20"/>
          <w:szCs w:val="20"/>
          <w:color w:val="auto"/>
        </w:rPr>
      </w:pPr>
    </w:p>
    <w:p>
      <w:pPr>
        <w:ind w:left="660" w:right="60" w:hanging="328"/>
        <w:spacing w:after="0" w:line="266" w:lineRule="auto"/>
        <w:tabs>
          <w:tab w:leader="none" w:pos="65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grant any option, right or warrant to purchase, purchase any option or contract to sell, lend or otherwise transfer or dispose of any shares of the Company’s common stock or any securities convertible into or exchangeable for, or that represent the right to receive shares of, the Company’s common stock;</w:t>
      </w:r>
    </w:p>
    <w:p>
      <w:pPr>
        <w:spacing w:after="0" w:line="12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the Company’s common stock, whether any such transaction is to be settled by delivery of the Company’s common stock or other securities, in cash or otherwise;</w:t>
      </w:r>
    </w:p>
    <w:p>
      <w:pPr>
        <w:spacing w:after="0" w:line="129"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the Company’s common stock or any security convertible into or exercisable or exchangeable for the Company’s common stock;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publicly announce any intention to engage in or cause any action, activity, transaction or arrangement described in (1), (2) or (3) above.</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restrictions described above with respect to the Company do not apply to (A) the shares to be sold pursuant to the underwriting agreement, (B) the issuance by the Company of shares of Series A common stock upon the exercise of options or the settlement of restricted stock units (including any “net” exercise or settlement) outstanding as of, or issued after, the date of this prospectus pursuant to equity plans or other arrangements disclosed herein, (C) the issuance by the Company of shares of common stock upon the conversion or exchange of convertible or exchangeable securities outstanding as of the date of this prospectus and described herein, (D) the issuance by the Company of shares of Series A common stock or securities convertible into, exchangeable for or that represent the right to receive shares of Series A common stock, in each case pursuant to equity plans disclosed herein, (E)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3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issuance by the Company of shares of Series A common stock or securities convertible into, exchangeable for or that represent the right to receive shares of Series A common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or (y) the Company’s joint ventures, commercial relationships and other strategic relationships, provided, that the aggregate number of shares of Series A common stock that the Company may sell or issue or agree to sell or issue pursuant to clause (E) shall not exceed 5% of the total number of shares of common stock outstanding immediately following the offering of shares pursuant to this prospectus, or (F) the filing of any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relating to the securities granted or to be granted pursuant to (i) equity plans disclosed herein or (ii) any assumed employee benefit plan contemplated by clause (E).</w:t>
      </w:r>
    </w:p>
    <w:p>
      <w:pPr>
        <w:spacing w:after="0" w:line="14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The restrictions described above and contained in the lock-up agreements between the underwriters and the Company’s officers, directors, and holders of substantially all of the Company’s common stock and securities convertible into or exchangeable for shares of the Company’s common stock, including the selling stockholders, do not apply, subject in certain cases to various conditions, to certain transactions, including (a) transfers of lock-up securities: (i) as bona fide gifts, charitable contributions or for bona fide estate planning purposes, (ii) upon death, by will, intestate succession or other testamentary document, (iii) in the case of a natural person, to any member of the lock-up party’s immediate family or to any trust for the direct or indirect benefit of the lock-up party or any immediate family member, (iv) to a partnership, limited liability company, corporation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(B) to any investment fund or other entity controlling, controlled by, managing or managed by or under common control with the lock-up party or its affiliates, (C) as part of a distribution, transfer, or disposition by the lock-up party to its stockholders, partners, members or other equityholders, or to the estate of such stockholders, partners, members or other equityholders, (D) to any wholly owned subsidiary of the lock-up party or (E) any director or indirect partner, member, stockholder or equityholder of a lock-up party referenced in (A) through (D) that is not a natural person; (vii) by operation of law, (viii) to the Company from a current or former employee or service provider in connection with the repurchase of shares of common stock issued pursuant to equity awards granted under a stock incentive plan or other equity award plan or pursuant to the agreements pursuant to which such shares were issued, which plan or agreement is described herein or upon death, disability or termination of employment of such employee, (ix) if the lock-up party is not an officer or director of the Company, as part of a sale of lock-up securities acquired (A) from the underwriters in this offering or (B) in open market transactions after the completion of this offering, (x) to the Company in connection with the vesting, settlement or exercise of restricted stock units, shares of restricted stock, options, warrants or other rights to purchase shares of common stock (including “net” or “cashless” exercise) that are scheduled to expire or automatically vest during the lock-up period, including any transfer to the Company for the payment of tax withholdings or remittance payments due as a result of vesting, settlement or exercise of such securities, (xi) to satisfy tax withholding obligations as a result of the exercise, vesting and/or settlement of equity awards, (xii) in connection with the conversion, exchange or reclassification of the Company’s outstanding equity securities into shares of common stock, including the conversion or reclassification of the outstanding shares of the Company’s existing common stock or preferred stock into shares of common stock in connection with the consummation of this offering, or any reclassification, exchange or conversion of common stock or (xiii) with the prior written consent of Goldman Sachs &amp; Co. LLC and J.P. Morgan Securities LLC, provided that (A) in the case of clauses (a)(i), (ii), (iii), (iv), (v) and (vi) above, such transfer or distribution shall not involve a disposition for value,</w:t>
      </w:r>
    </w:p>
    <w:p>
      <w:pPr>
        <w:spacing w:after="0" w:line="197" w:lineRule="exact"/>
        <w:rPr>
          <w:sz w:val="20"/>
          <w:szCs w:val="20"/>
          <w:color w:val="auto"/>
        </w:rPr>
      </w:pPr>
    </w:p>
    <w:p>
      <w:pPr>
        <w:ind w:right="120" w:firstLine="8"/>
        <w:spacing w:after="0" w:line="252" w:lineRule="auto"/>
        <w:tabs>
          <w:tab w:leader="none" w:pos="2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(a)(i), (ii), (iii), (iv), (v), (vi) and (vii) above, it shall be a condition to the transfer or distribution that the donee, devisee, transferee or distributee, as the case may be, shall sign and deliver a lock-up agreement, (C) in the case of clauses (a)(ii), (iii), (iv), (v) and (vi) above, no filing by any party under the Exchange Act, or other public filing, report or announcement reporting a reduction in beneficial ownership of lock-up securities shall be required or shall be voluntarily made in connection with such transfer or distribution, and (D) in the case of clauses (a)(i), (vii), (viii), (ix), (x) and (xi) above, no public filing, report or announcement shall be voluntarily made, and if any such filing, report or announcement shall be legally required during the lock-up period, such filing, report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131" w:right="3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announcement shall clearly indicate in the footnotes thereto the circumstances of such transfer or distribution, (b) exercises of outstanding options or the settlement of restricted stock units or other equity awards, provided that any lock-up securities received upon such exercise, vesting or settlement shall be subject to the terms of the lock-up agreement, (c) entry into a written plan under Rule 10b5-1 under the Exchange Act, provided that such plan does not provide for the transfer, sale or other disposition of lock-up securities during the restricted period, and no public announcement, report or filing under the Exchange Act, or any other public filing, report or announcement, shall be voluntarily made regarding the establishment of such plan during the lock-up period if any such filing, report or announcement shall be legally required during the lock-up period, such filing, report or announcement shall clearly indicate therein that none of the securities subject to such plan may be transferred, sold, or otherwise disposed of pursuant to such plan until after the expiration of the lock-up period, (d) transfers pursuant to a bona-fide third-party tender offer, merger, consolidation or other similar transaction that is approved by the Company’s board of directors and made to all holders of the Company’s capital stock involving a change of control, provided that all of the lock-up party’s securities that are not transferred, tendered or otherwise, disposed of shall remain subject to the provisions of the lock-up agreement, and provided further that that if such tender offer, merger, consolidation or other similar transaction is not completed, the lock-up party’s securities will remain subject to the provisions of the lock-up agreement and (e) sales of shares of common stock pursuant to the underwriting agreement.</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Notwithstanding the foregoing, approximately 1,555,595 shares of the Company’s common stock and securities directly or indirectly convertible into or exchangeable or exercisable for the Company’s common stock held by the Company’s current employees and service providers (excluding current executive officers and directors) may be sold beginning at the opening of trading on the second trading day immediately following the Company’s public release of earnings for the first quarter following the most recent period for which financial statements are included in this prospectus; provided, that the last reported closing price of the Company’s Series A common stock on Nasdaq is at least 25% greater than the initial public offering price per share set forth on the cover page of this prospectus for any six trading days out of the 10 consecutive full trading day period ending on, and including, the closing of the first full trading day immediately following the Company’s first post-public offering earnings release.</w:t>
      </w:r>
    </w:p>
    <w:p>
      <w:pPr>
        <w:spacing w:after="0" w:line="13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Series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Series A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Series A common stock. As a result, the price of the Series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00"/>
          </w:cols>
          <w:pgMar w:left="320" w:top="131" w:right="3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estimates that its share of the total expenses of the offering, excluding underwriting discounts and commissions, will be approximately $5.0 million. The Company has also agreed to reimburse the underwriters for certain of their expenses in an amount up to $50,000.</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stockholders have agreed to indemnify the several underwriters against certain liabilities, including liabilities under the Securities Act.</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For example, JPMorgan Chase Bank, N.A., an affiliate of J.P. Morgan Securities LLC, acts as the administrative agent, issuing bank and a lender under the Credit Facility.</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the Company’s request, the underwriters have reserved up to 1,071,428 shares of our Series A common stock, or 5% of the shares being offered pursuant to this prospectus, for sale at the initial public offering price to certain employees as determined by certain of Company’s officers through a directed share program administered by Goldman Sachs &amp; Co. LLC and its affiliates. If purchased by these persons, these shares will not be subject to a lock-up restriction, except to the extent that the purchasers of such shares are otherwise subject to lock-up or market stand-off agreements as a result of their relationships with the Company. The number of shares of Series A common stock available for sale to the general public in this offering will be reduced to the extent these employees purchase such reserved shares. Any reserved shares that are not so purchased will be offered by the underwriters to the general public on the same basis as the other shares offered by this prospectus. Other than the underwriting discount described on the front cover of this prospectus, the underwriters will not be entitled to any commission with respect to shares of Series A common stock sold pursuant to the directed share program. The Company has agreed to indemnify the several underwriters against certain liabilities and expenses, including liabilities under the Securities Act, in connection with sales of the shares sold through the directed share program.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to Retail Investors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allocations made to retail investors by the underwriters and through the Company’s directed share program discussed above, the Company anticipates that a portion of its Series A common stock offered hereby will, at its request, be offered to retail investors through SoFi and Robinhood, via their respective online brokerage platforms. SoFi and Robinhood will act as selling group members for this offering. These platforms are not affiliated with the Company. Purchases through these platforms will be subject to the terms, conditions, and requirements set by such platforms. Any purchase of shares of Series A common stock in this offering through these platforms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3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initially be offered at the offering price listed on the cover page of this prospectus. Information contained on, or that can be accessed through, such brokerage platforms does not constitute part of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as defined below, except that the shares of common stock may be offered to the public in that Relevant State at any time:</w:t>
      </w:r>
    </w:p>
    <w:p>
      <w:pPr>
        <w:spacing w:after="0" w:line="129"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shares of common stock shall require us or any of the representatives to publish a prospectus pursuant to Article 3 of the Prospectus Regulation or supplement a prospectus pursuant to Article 23 of the Prospectus Regulation. For the purposes of this provision, the expression an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 shares of common stock have been offered or will be offered pursuant to the offering to the public in the U.K. prior to the publication of a prospectus in relation to the shares of common stock which has been approved by the Financial Conduct Authority, except that the shares of common stock may be offered to the public in the U.K. at any time:</w:t>
      </w:r>
    </w:p>
    <w:p>
      <w:pPr>
        <w:spacing w:after="0" w:line="122"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as defined below;</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(“FSMA”),</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provided that no such offer of the shares of common stock shall require the Company or any underwriter to publish a prospectus pursuant to Section 85 of the FSMA or supplement a prospectus pursuant to Article 23 of the UK Prospectus Regulation, as defined below. For the purposes of this provision, the expression an “offer to the public” in relation to the shares of common stock in the U.K.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3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shares of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common stock which are or are intended to be disposed of only to persons outside Hong Kong or only to “professional investors” in Hong Kong as defined in the Securities and Futures Ordinance and any rules made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of common stock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20"/>
          </w:cols>
          <w:pgMar w:left="320" w:top="131" w:right="3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Securities and Futures (Offers of Investments) (Shares and Debentures) Regulations 2005 of Singapore (“Regulation 32”).</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common stock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Brazil</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OFFER AND SALE OF THE SECURITIES HAVE NOT BEEN AND WILL NOT BE REGISTERED WITH THE BRAZILIAN SECURITIES COMMISSION COMISSÃO DE VALORES MOBILIÁRIOS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80"/>
          </w:cols>
          <w:pgMar w:left="320" w:top="131" w:right="3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Goodwin Procter LLP, Redwood City, California, which has acted as our counsel in connection with this offering, has passed upon the validity of the shares of our Series A common stock being offered by this prospectus. The underwriters have been represented by Latham &amp; Watkins LLP, Menlo Park, California.</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financial statements of Pattern Group Inc., as of December 31, 2023 and 2024, and for each of the three years in the period ended December 31, 2024,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Series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Series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3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www.pattern.com.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20"/>
          </w:cols>
          <w:pgMar w:left="320" w:top="131"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20" w:type="dxa"/>
            <w:vAlign w:val="bottom"/>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58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7"/>
              </w:rPr>
              <w:t>F-1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2023 and 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F-3</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2022, 2023 and 2024</w:t>
            </w:r>
          </w:p>
        </w:tc>
        <w:tc>
          <w:tcPr>
            <w:tcW w:w="224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F-4</w:t>
            </w:r>
          </w:p>
        </w:tc>
        <w:tc>
          <w:tcPr>
            <w:tcW w:w="0" w:type="dxa"/>
            <w:vAlign w:val="bottom"/>
          </w:tcPr>
          <w:p>
            <w:pPr>
              <w:spacing w:after="0"/>
              <w:rPr>
                <w:sz w:val="1"/>
                <w:szCs w:val="1"/>
                <w:color w:val="auto"/>
              </w:rPr>
            </w:pPr>
          </w:p>
        </w:tc>
      </w:tr>
      <w:tr>
        <w:trPr>
          <w:trHeight w:val="209"/>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2023 and 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F-5</w:t>
            </w:r>
          </w:p>
        </w:tc>
        <w:tc>
          <w:tcPr>
            <w:tcW w:w="0" w:type="dxa"/>
            <w:vAlign w:val="bottom"/>
          </w:tcPr>
          <w:p>
            <w:pPr>
              <w:spacing w:after="0"/>
              <w:rPr>
                <w:sz w:val="1"/>
                <w:szCs w:val="1"/>
                <w:color w:val="auto"/>
              </w:rPr>
            </w:pPr>
          </w:p>
        </w:tc>
      </w:tr>
      <w:tr>
        <w:trPr>
          <w:trHeight w:val="209"/>
        </w:trPr>
        <w:tc>
          <w:tcPr>
            <w:tcW w:w="46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2024</w:t>
            </w:r>
          </w:p>
        </w:tc>
        <w:tc>
          <w:tcPr>
            <w:tcW w:w="2300" w:type="dxa"/>
            <w:vAlign w:val="bottom"/>
            <w:tcBorders>
              <w:top w:val="single" w:sz="8" w:color="0000FF"/>
            </w:tcBorders>
            <w:gridSpan w:val="3"/>
          </w:tcPr>
          <w:p>
            <w:pPr>
              <w:spacing w:after="0"/>
              <w:rPr>
                <w:sz w:val="18"/>
                <w:szCs w:val="18"/>
                <w:color w:val="auto"/>
              </w:rPr>
            </w:pPr>
          </w:p>
        </w:tc>
        <w:tc>
          <w:tcPr>
            <w:tcW w:w="3620" w:type="dxa"/>
            <w:vAlign w:val="bottom"/>
            <w:gridSpan w:val="8"/>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F-6</w:t>
            </w:r>
          </w:p>
        </w:tc>
        <w:tc>
          <w:tcPr>
            <w:tcW w:w="0" w:type="dxa"/>
            <w:vAlign w:val="bottom"/>
          </w:tcPr>
          <w:p>
            <w:pPr>
              <w:spacing w:after="0"/>
              <w:rPr>
                <w:sz w:val="1"/>
                <w:szCs w:val="1"/>
                <w:color w:val="auto"/>
              </w:rPr>
            </w:pPr>
          </w:p>
        </w:tc>
      </w:tr>
      <w:tr>
        <w:trPr>
          <w:trHeight w:val="209"/>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Changes in Convertible Preferred Stock and Stockholders’ Equity for the Years Ended December 31, 2022, 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7"/>
              </w:rPr>
              <w:t>F-7</w:t>
            </w:r>
          </w:p>
        </w:tc>
        <w:tc>
          <w:tcPr>
            <w:tcW w:w="0" w:type="dxa"/>
            <w:vAlign w:val="bottom"/>
          </w:tcPr>
          <w:p>
            <w:pPr>
              <w:spacing w:after="0"/>
              <w:rPr>
                <w:sz w:val="1"/>
                <w:szCs w:val="1"/>
                <w:color w:val="auto"/>
              </w:rPr>
            </w:pPr>
          </w:p>
        </w:tc>
      </w:tr>
      <w:tr>
        <w:trPr>
          <w:trHeight w:val="168"/>
        </w:trPr>
        <w:tc>
          <w:tcPr>
            <w:tcW w:w="160" w:type="dxa"/>
            <w:vAlign w:val="bottom"/>
            <w:tcBorders>
              <w:top w:val="single" w:sz="8" w:color="0000FF"/>
            </w:tcBorders>
          </w:tcPr>
          <w:p>
            <w:pPr>
              <w:spacing w:after="0"/>
              <w:rPr>
                <w:sz w:val="14"/>
                <w:szCs w:val="14"/>
                <w:color w:val="auto"/>
              </w:rPr>
            </w:pPr>
          </w:p>
        </w:tc>
        <w:tc>
          <w:tcPr>
            <w:tcW w:w="10000" w:type="dxa"/>
            <w:vAlign w:val="bottom"/>
            <w:tcBorders>
              <w:top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and 2024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20" w:type="dxa"/>
            <w:vAlign w:val="bottom"/>
            <w:gridSpan w:val="13"/>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F-8</w:t>
            </w:r>
          </w:p>
        </w:tc>
        <w:tc>
          <w:tcPr>
            <w:tcW w:w="0" w:type="dxa"/>
            <w:vAlign w:val="bottom"/>
          </w:tcPr>
          <w:p>
            <w:pPr>
              <w:spacing w:after="0"/>
              <w:rPr>
                <w:sz w:val="1"/>
                <w:szCs w:val="1"/>
                <w:color w:val="auto"/>
              </w:rPr>
            </w:pPr>
          </w:p>
        </w:tc>
      </w:tr>
      <w:tr>
        <w:trPr>
          <w:trHeight w:val="529"/>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as of and for the Three and Six Months Ended June 30, 2024 and 2025: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020" w:type="dxa"/>
            <w:vAlign w:val="bottom"/>
            <w:tcBorders>
              <w:bottom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2024 and 2025 (Unaudited)</w:t>
            </w:r>
          </w:p>
        </w:tc>
        <w:tc>
          <w:tcPr>
            <w:tcW w:w="1560" w:type="dxa"/>
            <w:vAlign w:val="bottom"/>
            <w:gridSpan w:val="4"/>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93"/>
              </w:rPr>
              <w:t>F-30</w:t>
            </w:r>
          </w:p>
        </w:tc>
        <w:tc>
          <w:tcPr>
            <w:tcW w:w="0" w:type="dxa"/>
            <w:vAlign w:val="bottom"/>
          </w:tcPr>
          <w:p>
            <w:pPr>
              <w:spacing w:after="0"/>
              <w:rPr>
                <w:sz w:val="1"/>
                <w:szCs w:val="1"/>
                <w:color w:val="auto"/>
              </w:rPr>
            </w:pPr>
          </w:p>
        </w:tc>
      </w:tr>
      <w:tr>
        <w:trPr>
          <w:trHeight w:val="209"/>
        </w:trPr>
        <w:tc>
          <w:tcPr>
            <w:tcW w:w="99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June 30, 2024 and 2025 (Unaudited)</w:t>
            </w:r>
          </w:p>
        </w:tc>
        <w:tc>
          <w:tcPr>
            <w:tcW w:w="64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F-31</w:t>
            </w:r>
          </w:p>
        </w:tc>
        <w:tc>
          <w:tcPr>
            <w:tcW w:w="0" w:type="dxa"/>
            <w:vAlign w:val="bottom"/>
          </w:tcPr>
          <w:p>
            <w:pPr>
              <w:spacing w:after="0"/>
              <w:rPr>
                <w:sz w:val="1"/>
                <w:szCs w:val="1"/>
                <w:color w:val="auto"/>
              </w:rPr>
            </w:pPr>
          </w:p>
        </w:tc>
      </w:tr>
      <w:tr>
        <w:trPr>
          <w:trHeight w:val="209"/>
        </w:trPr>
        <w:tc>
          <w:tcPr>
            <w:tcW w:w="83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2025 (Unaudited)</w:t>
            </w:r>
          </w:p>
        </w:tc>
        <w:tc>
          <w:tcPr>
            <w:tcW w:w="2280" w:type="dxa"/>
            <w:vAlign w:val="bottom"/>
            <w:gridSpan w:val="6"/>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F-32</w:t>
            </w:r>
          </w:p>
        </w:tc>
        <w:tc>
          <w:tcPr>
            <w:tcW w:w="0" w:type="dxa"/>
            <w:vAlign w:val="bottom"/>
          </w:tcPr>
          <w:p>
            <w:pPr>
              <w:spacing w:after="0"/>
              <w:rPr>
                <w:sz w:val="1"/>
                <w:szCs w:val="1"/>
                <w:color w:val="auto"/>
              </w:rPr>
            </w:pPr>
          </w:p>
        </w:tc>
      </w:tr>
      <w:tr>
        <w:trPr>
          <w:trHeight w:val="210"/>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December 31, 2024 (Audited) and June 30, 2025 (Unaudited)</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F-33</w:t>
            </w:r>
          </w:p>
        </w:tc>
        <w:tc>
          <w:tcPr>
            <w:tcW w:w="0" w:type="dxa"/>
            <w:vAlign w:val="bottom"/>
          </w:tcPr>
          <w:p>
            <w:pPr>
              <w:spacing w:after="0"/>
              <w:rPr>
                <w:sz w:val="1"/>
                <w:szCs w:val="1"/>
                <w:color w:val="auto"/>
              </w:rPr>
            </w:pPr>
          </w:p>
        </w:tc>
      </w:tr>
      <w:tr>
        <w:trPr>
          <w:trHeight w:val="20"/>
        </w:trPr>
        <w:tc>
          <w:tcPr>
            <w:tcW w:w="2740" w:type="dxa"/>
            <w:vAlign w:val="bottom"/>
            <w:gridSpan w:val="3"/>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Convertible Preferred Stock and Stockholders’ Equity for the Three and Six Months Ended</w:t>
            </w:r>
          </w:p>
        </w:tc>
        <w:tc>
          <w:tcPr>
            <w:tcW w:w="280" w:type="dxa"/>
            <w:vAlign w:val="bottom"/>
            <w:vMerge w:val="restart"/>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93"/>
              </w:rPr>
              <w:t>F-34</w:t>
            </w:r>
          </w:p>
        </w:tc>
        <w:tc>
          <w:tcPr>
            <w:tcW w:w="0" w:type="dxa"/>
            <w:vAlign w:val="bottom"/>
          </w:tcPr>
          <w:p>
            <w:pPr>
              <w:spacing w:after="0"/>
              <w:rPr>
                <w:sz w:val="1"/>
                <w:szCs w:val="1"/>
                <w:color w:val="auto"/>
              </w:rPr>
            </w:pPr>
          </w:p>
        </w:tc>
      </w:tr>
      <w:tr>
        <w:trPr>
          <w:trHeight w:val="168"/>
        </w:trPr>
        <w:tc>
          <w:tcPr>
            <w:tcW w:w="160" w:type="dxa"/>
            <w:vAlign w:val="bottom"/>
            <w:tcBorders>
              <w:top w:val="single" w:sz="8" w:color="0000FF"/>
            </w:tcBorders>
          </w:tcPr>
          <w:p>
            <w:pPr>
              <w:spacing w:after="0"/>
              <w:rPr>
                <w:sz w:val="14"/>
                <w:szCs w:val="14"/>
                <w:color w:val="auto"/>
              </w:rPr>
            </w:pPr>
          </w:p>
        </w:tc>
        <w:tc>
          <w:tcPr>
            <w:tcW w:w="10120" w:type="dxa"/>
            <w:vAlign w:val="bottom"/>
            <w:tcBorders>
              <w:top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June 30, 2024 and 2025 (Unaudited</w:t>
            </w:r>
            <w:r>
              <w:rPr>
                <w:rFonts w:ascii="Times New Roman" w:cs="Times New Roman" w:eastAsia="Times New Roman" w:hAnsi="Times New Roman"/>
                <w:sz w:val="16"/>
                <w:szCs w:val="16"/>
                <w:color w:val="000000"/>
              </w:rPr>
              <w:t>)</w:t>
            </w:r>
          </w:p>
        </w:tc>
        <w:tc>
          <w:tcPr>
            <w:tcW w:w="3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4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5780" w:type="dxa"/>
            <w:vAlign w:val="bottom"/>
            <w:gridSpan w:val="10"/>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w:t>
      </w:r>
    </w:p>
    <w:p>
      <w:pPr>
        <w:sectPr>
          <w:pgSz w:w="11900" w:h="16838" w:orient="portrait"/>
          <w:cols w:equalWidth="0" w:num="1">
            <w:col w:w="11220"/>
          </w:cols>
          <w:pgMar w:left="320" w:top="131" w:right="3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32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Pattern Group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Pattern Group Inc. and subsidiaries (the “Company”) as of December 31, 2024 and 2023, the related consolidated statements of operations, comprehensive income (loss), cash flows, and changes in convertible preferred stock and stockholders’ equity,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 Inventory Reserve — Refer to Note 2 to the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Inventories represent finished good products that are available for sale. Inventory is accounted for using the average cost method and is stated at the lower of cost or net realizable value. The Company periodically evaluates the composition of inventory and recognizes adjustments when the cost of inventory is not expected to be fully recoverable. The market value of inventory is estimated by considering current and anticipated demand based on historical sales, buying trends and the method of disposal for aged inventory, such as, through sales to individual customers, returns to brand partners, liquidations and expected recoverable values of each disposition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00"/>
          </w:cols>
          <w:pgMar w:left="320" w:top="131" w:right="3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identified the inventory reserve as a critical audit matter due to the judgments required by management related to estimating the current and anticipated demand based on historical sales, buying trends and method of disposal necessary in determining the inventory reserve. This required a higher degree of auditor judgment and an increased extent of audit effort.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addressed the inventory reserve as follows: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procedures to evaluate the reasonableness of management’s methods, assumptions, and judgments used in developing their estimate of the valuation of the inventory reserve, through consideration of historical sales trends including evaluation of information obtained from supply chain employees and appropriateness of whether to increase/decrease the reserve based on estimated disposal method.</w:t>
      </w:r>
    </w:p>
    <w:p>
      <w:pPr>
        <w:spacing w:after="0" w:line="12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accuracy and completeness of the underlying data used in the Company’s calculations of the of the inventory reserve, including historical sales, quantities on hand, and cost.</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the valuation of the inventory reserve by comparing actual results with reserves from previous years.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Company’s calculations of reserved inventories.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320" w:top="131" w:right="3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expect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1,796,161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1,014,812</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338,508</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337,672</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17,987</w:t>
            </w:r>
          </w:p>
        </w:tc>
      </w:tr>
      <w:tr>
        <w:trPr>
          <w:trHeight w:val="22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1,708,979</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87,182</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67,856</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allocable to participating Series A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29"/>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Series B Preferred Stock dividend - undeclared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17,992</w:t>
            </w: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income attributable to common and preferred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76"/>
        </w:trPr>
        <w:tc>
          <w:tcPr>
            <w:tcW w:w="6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(loss) per share attributable to common and preferred stockholder (Note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70"/>
        </w:trPr>
        <w:tc>
          <w:tcPr>
            <w:tcW w:w="6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and preferred shares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90,769</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17"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67,856</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derivative instrument, reclassified to earnings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Unrealized gain (loss) on foreign currency translation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69,225</w:t>
            </w:r>
          </w:p>
        </w:tc>
      </w:tr>
      <w:tr>
        <w:trPr>
          <w:trHeight w:val="21"/>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17"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67,856</w:t>
            </w:r>
          </w:p>
        </w:tc>
      </w:tr>
      <w:tr>
        <w:trPr>
          <w:trHeight w:val="175"/>
        </w:trPr>
        <w:tc>
          <w:tcPr>
            <w:tcW w:w="6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Impairment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Contingent consideration benefit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(30,811)</w:t>
            </w:r>
          </w:p>
        </w:tc>
      </w:tr>
      <w:tr>
        <w:trPr>
          <w:trHeight w:val="229"/>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(73,219)</w:t>
            </w:r>
          </w:p>
        </w:tc>
      </w:tr>
      <w:tr>
        <w:trPr>
          <w:trHeight w:val="229"/>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29"/>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w:t>
            </w:r>
          </w:p>
        </w:tc>
      </w:tr>
      <w:tr>
        <w:trPr>
          <w:trHeight w:val="229"/>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r>
      <w:tr>
        <w:trPr>
          <w:trHeight w:val="229"/>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23"/>
        </w:trPr>
        <w:tc>
          <w:tcPr>
            <w:tcW w:w="63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70,347</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Current Technologies LLC, net of cash acquired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360" w:type="dxa"/>
            <w:vAlign w:val="bottom"/>
            <w:tcBorders>
              <w:top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(20,438)</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on long 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23"/>
        </w:trPr>
        <w:tc>
          <w:tcPr>
            <w:tcW w:w="63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175,615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w:t>
            </w:r>
          </w:p>
        </w:tc>
      </w:tr>
      <w:tr>
        <w:trPr>
          <w:trHeight w:val="270"/>
        </w:trPr>
        <w:tc>
          <w:tcPr>
            <w:tcW w:w="6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settled with common stock</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17"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expect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0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8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56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Convertible Preferred stock, $0.001 par value: 28,972 shares authorized;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8000" w:type="dxa"/>
            <w:vAlign w:val="bottom"/>
            <w:gridSpan w:val="3"/>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28,966 shares issued and outstanding;</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80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refer to Note 9 for aggregate liquidation preference</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000" w:type="dxa"/>
            <w:vAlign w:val="bottom"/>
            <w:gridSpan w:val="3"/>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137,547 and 140,287 shares authorized; 3,373 and 3,799 shares issued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as of December 31, 2023 and 2024, respectively</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3"/>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88,869 shares authorized;</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87,400 and 86,792 shares issued and outstanding as of December 31, 2023 and 2024, respectively</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17"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700" w:type="dxa"/>
            <w:vAlign w:val="bottom"/>
            <w:gridSpan w:val="4"/>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680" w:type="dxa"/>
            <w:vAlign w:val="bottom"/>
            <w:gridSpan w:val="4"/>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0"/>
                <w:szCs w:val="10"/>
                <w:color w:val="auto"/>
              </w:rPr>
            </w:pPr>
          </w:p>
        </w:tc>
        <w:tc>
          <w:tcPr>
            <w:tcW w:w="17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40" w:type="dxa"/>
            <w:vAlign w:val="bottom"/>
          </w:tcPr>
          <w:p>
            <w:pPr>
              <w:spacing w:after="0"/>
              <w:rPr>
                <w:sz w:val="8"/>
                <w:szCs w:val="8"/>
                <w:color w:val="auto"/>
              </w:rPr>
            </w:pPr>
          </w:p>
        </w:tc>
        <w:tc>
          <w:tcPr>
            <w:tcW w:w="17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7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040" w:type="dxa"/>
            <w:vAlign w:val="bottom"/>
            <w:gridSpan w:val="3"/>
          </w:tcPr>
          <w:p>
            <w:pPr>
              <w:jc w:val="center"/>
              <w:ind w:right="8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40" w:type="dxa"/>
            <w:vAlign w:val="bottom"/>
          </w:tcPr>
          <w:p>
            <w:pPr>
              <w:spacing w:after="0"/>
              <w:rPr>
                <w:sz w:val="8"/>
                <w:szCs w:val="8"/>
                <w:color w:val="auto"/>
              </w:rPr>
            </w:pPr>
          </w:p>
        </w:tc>
        <w:tc>
          <w:tcPr>
            <w:tcW w:w="80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8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7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6"/>
                <w:szCs w:val="16"/>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3,736</w:t>
            </w:r>
          </w:p>
        </w:tc>
        <w:tc>
          <w:tcPr>
            <w:tcW w:w="0" w:type="dxa"/>
            <w:vAlign w:val="bottom"/>
          </w:tcPr>
          <w:p>
            <w:pPr>
              <w:spacing w:after="0"/>
              <w:rPr>
                <w:sz w:val="1"/>
                <w:szCs w:val="1"/>
                <w:color w:val="auto"/>
              </w:rPr>
            </w:pPr>
          </w:p>
        </w:tc>
      </w:tr>
      <w:tr>
        <w:trPr>
          <w:trHeight w:val="122"/>
        </w:trPr>
        <w:tc>
          <w:tcPr>
            <w:tcW w:w="204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w w:val="97"/>
              </w:rPr>
              <w:t>Issuance of common stock to settle</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other comprehensive loss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0" w:type="dxa"/>
            <w:vAlign w:val="bottom"/>
          </w:tcPr>
          <w:p>
            <w:pPr>
              <w:spacing w:after="0"/>
              <w:rPr>
                <w:sz w:val="1"/>
                <w:szCs w:val="1"/>
                <w:color w:val="auto"/>
              </w:rPr>
            </w:pPr>
          </w:p>
        </w:tc>
      </w:tr>
      <w:tr>
        <w:trPr>
          <w:trHeight w:val="170"/>
        </w:trPr>
        <w:tc>
          <w:tcPr>
            <w:tcW w:w="20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0"/>
        </w:trPr>
        <w:tc>
          <w:tcPr>
            <w:tcW w:w="20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81"/>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8"/>
              </w:rPr>
              <w:t>Total other comprehensive income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0" w:type="dxa"/>
            <w:vAlign w:val="bottom"/>
          </w:tcPr>
          <w:p>
            <w:pPr>
              <w:spacing w:after="0"/>
              <w:rPr>
                <w:sz w:val="1"/>
                <w:szCs w:val="1"/>
                <w:color w:val="auto"/>
              </w:rPr>
            </w:pPr>
          </w:p>
        </w:tc>
      </w:tr>
      <w:tr>
        <w:trPr>
          <w:trHeight w:val="170"/>
        </w:trPr>
        <w:tc>
          <w:tcPr>
            <w:tcW w:w="20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41,264</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38,999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42,400</w:t>
            </w:r>
          </w:p>
        </w:tc>
        <w:tc>
          <w:tcPr>
            <w:tcW w:w="0" w:type="dxa"/>
            <w:vAlign w:val="bottom"/>
          </w:tcPr>
          <w:p>
            <w:pPr>
              <w:spacing w:after="0"/>
              <w:rPr>
                <w:sz w:val="1"/>
                <w:szCs w:val="1"/>
                <w:color w:val="auto"/>
              </w:rPr>
            </w:pPr>
          </w:p>
        </w:tc>
      </w:tr>
      <w:tr>
        <w:trPr>
          <w:trHeight w:val="122"/>
        </w:trPr>
        <w:tc>
          <w:tcPr>
            <w:tcW w:w="204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Converted preferred to common</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w:t>
            </w:r>
          </w:p>
        </w:tc>
        <w:tc>
          <w:tcPr>
            <w:tcW w:w="0" w:type="dxa"/>
            <w:vAlign w:val="bottom"/>
          </w:tcPr>
          <w:p>
            <w:pPr>
              <w:spacing w:after="0"/>
              <w:rPr>
                <w:sz w:val="1"/>
                <w:szCs w:val="1"/>
                <w:color w:val="auto"/>
              </w:rPr>
            </w:pPr>
          </w:p>
        </w:tc>
      </w:tr>
      <w:tr>
        <w:trPr>
          <w:trHeight w:val="170"/>
        </w:trPr>
        <w:tc>
          <w:tcPr>
            <w:tcW w:w="20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Total other comprehensive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0" w:type="dxa"/>
            <w:vAlign w:val="bottom"/>
          </w:tcPr>
          <w:p>
            <w:pPr>
              <w:spacing w:after="0"/>
              <w:rPr>
                <w:sz w:val="1"/>
                <w:szCs w:val="1"/>
                <w:color w:val="auto"/>
              </w:rPr>
            </w:pPr>
          </w:p>
        </w:tc>
      </w:tr>
      <w:tr>
        <w:trPr>
          <w:trHeight w:val="181"/>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67,856</w:t>
            </w:r>
          </w:p>
        </w:tc>
        <w:tc>
          <w:tcPr>
            <w:tcW w:w="0" w:type="dxa"/>
            <w:vAlign w:val="bottom"/>
          </w:tcPr>
          <w:p>
            <w:pPr>
              <w:spacing w:after="0"/>
              <w:rPr>
                <w:sz w:val="1"/>
                <w:szCs w:val="1"/>
                <w:color w:val="auto"/>
              </w:rPr>
            </w:pPr>
          </w:p>
        </w:tc>
      </w:tr>
      <w:tr>
        <w:trPr>
          <w:trHeight w:val="158"/>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3,799</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86,792</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106,855</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108,724</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17"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Pattern Inc. was incorporated in Utah in January 2013. Pattern Group Inc. (“Pattern” or the “Company”) was incorporated in Utah in January 2019, and subsequently converted to a Delaware corporation in May 2020. Following the Company’s incorporation, the stockholders of Pattern Inc. contributed all shares of Pattern Inc. to the Company in exchange for shares in the Company, and Pattern Inc. continued as a wholly-owned subsidiary of the Company.</w:t>
      </w:r>
    </w:p>
    <w:p>
      <w:pPr>
        <w:spacing w:after="0" w:line="10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Pattern, an ecommerce accelerator, uses its technology platform, data science and a team of global experts to drive growth for brands. The Company acquires inventory from brand partners to sell to consumers, enabling full control over content, pricing, logistics and customer service. Brand partners that contract with the Company operate in various industries including health and wellness, beauty and personal care, home and lifestyle, pet, sports and outdoors and consumer electronics.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include the accounts of the Company and its subsidiaries. All intercompany accounts and transactions have been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in the Company’s consolidated financial statements and accompanying notes. On an ongoing basis, management evaluates these estimates and judgements.</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Estimates are used for, but not limited to, determining the net realizable value and demand for inventory, allowance for sales returns, allowance for doubtful accounts, valuation allowances with respect to deferred tax assets, fair value of reporting units used in evaluation of goodwill impairment, the fair value of assets acquired and liabilities assumed in business combinations, the valuation of stock-based awards, the fair value of common stock and the incremental borrowing rate (“IBR”) used to measure operating lease liabilities. The Company bases these estimates on historical and anticipated results, trends and various other assumptions that it believes are reasonable under the circumstances, including assumptions as to future events. Actual results could differ from these estimates and any such differences may be material to the Company’s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recognizes revenue primarily from product sales through domestic and international online marketplaces. Revenue is recognized on a gross basis as the Company is (i) the entity primarily responsible for fulfilling the promise to provide the specified products in the arrangement with the customer, (ii) has inventory risk before the products have been transferred to a customer and (iii) has discretion in establishing the price for the products sold on the online marketplaces.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evaluated principal versus agent considerations to determine whether it is appropriate to record seller fees paid by the Company to the marketplaces as an expense or as a reduction of revenue. Seller fees charged by third-party marketplaces are not recorded as a reduction of revenue as the Company owns and controls all goods before they are transferred to the end customer. The Company is responsible for ensuring the goods promised to the end consumer are delivered. The Company establishes the price of its products, determines who fulfills the goods to the customer (third-party online marketplaces or the Company) and can limit quantities or stop selling the goods at any time. Revenues are presented net of customer returns. Based on these considerations, the Company is the principal in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17"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contract is created at the time the order is placed by the customer, which creates a single performance obligation to deliver the product to the customer. Revenue is measured as the amount of consideration the Company expects to receive in exchange for transferring the product and is recognized at the time control of the product passes to the customer, which is at the time of shipment. Taxes collected from customers for remittance to governmental bodies are excluded from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source of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Amazon.com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1,579,056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Amazon marketplaces, international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online marketplaces and channels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94,197</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SaaS, consulting and 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1,796,161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1,662,948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133,213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1,796,161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was the only individual country accounting for more than 10% of total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Return Allowances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generally accepts returns related to sales in accordance with the various online marketplaces’ return policy. At the time of sale, a reserve is established for returns, based on historical experience and expected future returns, which is recorded as a reduction of sales and cost of goods sold. The following table summarizes the additions and deductions to the Company’s sales return allowance:</w:t>
      </w:r>
    </w:p>
    <w:p>
      <w:pPr>
        <w:sectPr>
          <w:pgSz w:w="11900" w:h="16838" w:orient="portrait"/>
          <w:cols w:equalWidth="0" w:num="1">
            <w:col w:w="11240"/>
          </w:cols>
          <w:pgMar w:left="320" w:top="117" w:right="339" w:bottom="1440" w:gutter="0" w:footer="0" w:header="0"/>
        </w:sect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Increases to sales allowance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returns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30"/>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74,831</w:t>
            </w:r>
          </w:p>
        </w:tc>
      </w:tr>
      <w:tr>
        <w:trPr>
          <w:trHeight w:val="234"/>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(73,166)</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-633730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-334010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117" w:right="339" w:bottom="1440" w:gutter="0" w:footer="0" w:header="0"/>
          <w:type w:val="continuous"/>
        </w:sectPr>
      </w:pPr>
    </w:p>
    <w:p>
      <w:pPr>
        <w:spacing w:after="0" w:line="38"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The Company includes within inventory an asset, totaling $1.3 million and $1.6 million as of December 31, 2023 and 2024, respectively, associated with the right to recover product from customers related to the Company’s liabilities for return allowances.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Cost of goods sold primarily consists of the purchase price of inventory sold to customers. Shipping costs to receive products from the Company’s brand partners and costs to ship products to third-party fulfillment centers are included in the Company’s inventory and recognized as cost of goods sold upon sale of the products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17" w:right="33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General and Administrative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Operations, general and administrative expenses consist of third-party fulfillment costs; payroll and related expenses; warehousing costs; facilities and equipment, including depreciation and amortization, rent and other occupancy expenses; professional and legal fees; as well as costs associated with other general costs for corporate functions, including accounting, finance and human resources.</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Fulfillment costs represent those costs incurred from third-party fulfillment centers and in operating and staffing the Company’s fulfillment centers, including costs related to buying, receiving, inspecting and warehousing inventories, picking, packaging, and preparing customer orders for shipment. Fulfillment costs are included within operations, general and administrative in the consolidated statements of operations and were $171.4 million, $217.0 million and $272.3 million for the years ended December 31, 2022, 2023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third-party online marketplace commission fees, targeted online advertising and other marketing expenses, payroll and related expenses for personnel engaged in marketing and selling activities.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Advertising and other marketing expenses were $11.9 million, $16.4 million and $20.9 million for the years ended December 31, 2022, 2023 and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Partner Contracts</w:t>
      </w:r>
    </w:p>
    <w:p>
      <w:pPr>
        <w:spacing w:after="0" w:line="175"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Company has agreements with brand partners that provide reimbursement for certain advertising, cooperative marketing efforts and promotions. The Company generally accounts for such consideration from brand partners as a reduction of the related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include payroll and related expenses for employees involved in the research and development of Pattern’s technology, development and design of Company websites and curation and display of products available on third-party marketplaces.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records compensation expense in connection with all stock-based awards based on the grant date fair value of the awards. The Company’s stock-based awards generally have both a service-based and performance-based vesting condition. The Company has elected to account for forfeitures of awards as they occur. No stock-based compensation expense has been recognized related to the Company’s equity plan as the performance condition was determined as not probable of being met. See Note 11—Stock-Based Compensation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shares outstanding of common stock, Founder Voting Preferred Stock and Founder Non-Voting Preferred Stock. Diluted earnings per share is calculated using the Company’s weighted-average shares outstanding of common stock, Founder Voting Preferred Stock and Founder Non-Voting Preferred Stock. The Founder Voting and Founder Non-Voting Preferred Stock are considered to be common stock equivalents for purposes of calculating earnings per share (“EPS”) given that they share equally with common stock in the liquidation of the Company’s net assets and do not contain an economic preference.</w:t>
      </w:r>
    </w:p>
    <w:p>
      <w:pPr>
        <w:spacing w:after="0" w:line="12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dilutive effect of Founder Voting Preferred Stock, Founder Non-Voting Preferred Stock and Series A Preferred Stock is reflected in diluted earnings (loss) per share by application of the more dilutive of the two-class method and if-converted method (two-class method only applies for periods of net income). The dilutive effect of Series B Preferred Stock is reflected in diluted earnings (loss) per share under the if-converted method. The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00"/>
          </w:cols>
          <w:pgMar w:left="320" w:top="117" w:right="3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converted method is calculated by assuming conversion at the beginning of the period or date of issuance, if later; and therefore, no dividend preference would accrue to the Series B Preferred Stock. Restricted stock units (“RSUs”) subject to conditions other than service conditions are considered contingently issuable shares and are included in the computation of dilutive shares only to the extent that the underlying performance condition is satisfied prior to the end of the reporting period or would be considered satisfied if the end of the reporting period were the end of the related contingency period and the results would be dilutive (see Note 11—Stock-Based Compensation for more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earnings (loss) per share attributable to common and preferred stockholders: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allocable to participating Series A Preferred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Stock dividend - undeclared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and preferred stockholders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shares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Founder Voting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Founder Non-Voting Preferred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90,769</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and preferred stockholders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instruments outstanding as of period end were not reflected in diluted EPS as their effect for the periods presented would be anti-dilutive or are currently not exercisable for potential common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90 days or less to be cash equivalents. The Company’s cash equivalents are carried at cost, which approximates fair value and are classified as Level 1 in the fair value hierarchy because they are valued using quoted market prices. As of December 31, 2024, the Company did not have any restricted cash balances.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Accounts receivable are comprised of receivables from the various online marketplaces, brand partners and other receivables, including, consulting clients and business-to-business sales. Accounts receivable are stated at the invoiced amount and are non-interest-bearing.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17"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accounts receivable balance: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Amazon.com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partner receivables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Accounts receivable are reduced by an allowance for doubtful accounts due to collection risk related to these receivables. The Company estimates an allowance based on several factors, including past collection experience, age of the receivable balance and specific circumstances arising with individual customers. Accounts receivable deemed uncollectible are written off against the allowance for doubtful accounts when identified and the Company no longer actively pursues collection of the receivable.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additions and deductions to the Company’s allowance for doubtful accounts: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inventories represent finished good products that are available for sale. Inventory is accounted for using the average cost method and is stated at the lower of cost or net realizable value.</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composition of its inventory and recognizes adjustments when the cost of inventory is not expected to be fully recoverable. The market value of inventory is estimated by considering current and anticipated demand based on historical sales, buying trends and the method of disposal for aged inventory, such as through sales to individual customers, returns to brand partners, liquidations and expected recoverable values of each disposition category.</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 inventory reserve to reduce the value of inventory by $7.4 million and $7.9 million was recorded within inventory on the consolidated balance sheets as of December 31, 2023 and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Risks</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and cash equivalents and accounts receivable. The Company’s cash and cash equivalents are held at high credit quality financial institutions, which at times may exceed federally insured amounts.</w:t>
      </w:r>
    </w:p>
    <w:p>
      <w:pPr>
        <w:spacing w:after="0" w:line="12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primarily generates revenue from customers located in the U.S. and international markets who purchase the Company’s products on third-party online marketplaces. The Company regularly reviews the financial condition of the online marketplaces to ensure their ability to collect funds from customers and remit these funds to the Company.</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the Company has receivables from brand partners and other customers. The Company conducts ongoing evaluations of customers and brand partners financial conditions and may require advance payment to mitigate potential credit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17"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customer accounted for greater than 10% of the Company’s accounts receivable or revenue as of and for the year ended December 31, 2023 and 2024. One online marketplace represented 45% and 51% of the Company’s accounts receivable as of December 31, 2023 and 2024, respectively. The same online marketplace accounted for 92%, 93% and 94% of the Company’s revenue for the years ended December 31, 2022, 2023 and 2024 respectively.</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relies on brand partners for its inventories. A significant disruption in the operations of certain of these brand partners could impact the Company’s product sales for a substantial period of time, which may have a material adverse effect on the Company’s business, financial condition and results of operations.</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Two brand partners accounted for 16% and 11% of inventory purchases for the year ended December 31, 2023 and 17% and 11%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historical cost less accumulated depreciation and amortization. Repairs and maintenance costs that do not extend the useful life or improve the related asset are expensed as incurred. Depreciation and amortization are computed using the straight-line method over the estimated useful life of the asset or the remaining lease term, if shorter. The estimated useful lives of property and equipment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5020" w:type="dxa"/>
            <w:vAlign w:val="bottom"/>
          </w:tcPr>
          <w:p>
            <w:pPr>
              <w:jc w:val="right"/>
              <w:ind w:right="2112"/>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6220" w:type="dxa"/>
            <w:vAlign w:val="bottom"/>
            <w:tcBorders>
              <w:bottom w:val="single" w:sz="8" w:color="CCEEFF"/>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 or estimated useful life</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years</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years</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arise from contractual obligations that convey the right to control the use of identified property, plant, or equipment for a period of time in exchange for consideration. The Company determines if an arrangement is, or contains, a lease at contract inception. The Company’s operating leases are included in operating lease right-of-use assets, current portion of operating lease liabilities and operating lease liabilities, non-current in the accompanying consolidated balance sheets.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recognized at the lease commencement date based on the present value of lease payments over the applicable lease term discounted using the Company’s IBR. Operating lease right-of-use assets include any lease payments made or incentives provided by the lessor. As the leases do not provide an implicit rate, the IBR used is estimated based on what the Company would have to pay on a collateralized basis over a similar term as the lease. Lease payments include fixed payments and any variable payments based on an index or rate and are recognized as lease expense on a straight-line basis over the term of the lease.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Internal-use software costs include costs to develop software to be used to meet internal needs. Development costs are capitalized for these software applications once the preliminary project stage is complete, it is probable that the project will be completed and the software will be used to perform the function intended. Capitalized internal-use software costs, net of accumulated amortization is included in property and equipment, net in the consolidated balance sheets and was $12.1 million and $13.5 million as of December 31,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17"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there are indicators of potential impairment, the Company evaluates recoverability of the carrying values of property and equipment and right-of-use assets by comparing the carrying amount of the asset to the estimated undiscounted future cash flows expected to be generated by the asset. If the carrying amount of the asset exceeds the estimated undiscounted future cash flows, an impairment charge is recognized based on the amount by which the carrying value of the asset exceeds its fair value. In 2022, due to low sales volumes and poor financial performance, a decision was made to shutter the Company’s Village reporting unit resulting in an impairment charge of $3.6 million for the various long-lived assets related to the Company’s Village reporting unit. During 2023 and 2024, the Company did not identify any indicators of impairment, and no impairment charges were recorded.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results of businesses acquired in a business combination are included in the Company’s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 Acquisition-related costs incurred by the Company are recognized as an expense in operations, general and administrative expenses within the consolidated statements of operations.</w:t>
      </w:r>
    </w:p>
    <w:p>
      <w:pPr>
        <w:spacing w:after="0" w:line="1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within the measurement period.</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measurement period, which may be up to one year from the acquisition date, and to the extent that the value was not previously finalized,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about facts and circumstance that existed at the date of acquisition and reevaluates these estimates and assumptions and records any adjustments to the Company’s preliminary estimates to goodwill, provided that it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Goodwill represents the excess of the aggregate purchase consideration over the fair value of net assets acquired in a business combination. The Company performs an impairment analysis annually as of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or whenever events or circumstances indicate that the fair value of goodwill has been impaired. The Company performs goodwill impairment tests at the reporting unit level.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Identifiable acquired intangible assets consist primarily of acquisition-related trademarks, customer relationships and developed technology to enable the Company to serve brand partners more effectively. The appropriate useful life of intangible assets is determined by performing an analysis of expected cash flows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20"/>
          </w:cols>
          <w:pgMar w:left="320" w:top="117" w:right="3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assets. Intangible assets are recorded at cost and amortized on a straight-line basis over the estimated useful life: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 years</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years</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Domain name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years</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Income tax expense includes U.S. (federal and state) and foreign income taxes. The Company operates in various tax jurisdictions and is subject to audit by various tax authorities.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Deferred income tax balances reflect the anticipated future effects of temporary differences between the carrying amounts of assets and liabilities and their tax basis and are stated at enacted tax rates expected to be in effect when taxes are actually paid or recovered.</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Deferred tax assets are evaluated for future realization and reduced by a valuation allowance to the extent the Company believes it is more likely than not they will not be realized. The Company considers many factors when assessing the likelihood of future realization of deferred tax assets, including recent cumulative loss experience and expectation of future earnings, the carry-forward periods available for tax reporting purposes, reversal of temporary differences and other relevant factors.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utilizes a two-step approach to recognizing and measuring uncertain income tax positions (tax contingencies). The first step is to evaluate the tax position for recognition by determining if the weight of available evidence indicates it is more likely than not the position will be sustained on audit, including resolution of related appeals or litigation processes. The second step is to measure the tax benefit as the largest amount which is more than 50% likely of being realized upon ultimate settlement. The Company considers many factors when evaluating its tax positions and estimating the related tax benefits, which may require periodic adjustment and which may not accurately forecast actual outcomes. The Company’s policy for recording interest and penalties associated with uncertain tax positions is to record such items as a component of the income tax provision.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The reporting currency of the Company is the U.S. dollar. The functional currency for the Company’s subsidiaries is generally the same as the local currency. Foreign currency denominated monetary assets and liabilities are remeasured into U.S. dollars at exchange rates at the balance sheet date, and foreign currency denominated non-monetary assets and liabilities are remeasured into U.S. dollars at historical exchange rates. Revenue and expenses are translated at average rates prevailing throughout the period. Realized gains or losses from foreign currency transactions and settlements are included in other income (expense), net in the consolidated statements of operations. Net realized foreign exchange gains and losses were not material for the years ended December 31, 2022, 2023 and 2024. Unrealized gains or losses from foreign currency remeasurement are included in other comprehensive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measures and reports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To measure fair value, U.S. GAAP has established a hierarchy which requires an entity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17"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hierarchy uses three levels of inputs to measure the fair value of assets and liabilities as follows: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including quoted prices for similar assets or liabilities, quoted prices in less active markets, or other observable inputs that can be corroborated by observable market data.</w:t>
      </w:r>
    </w:p>
    <w:p>
      <w:pPr>
        <w:spacing w:after="0" w:line="108"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Level 3 – 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(the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amending existing income tax disclosure guidance, primarily requiring more detailed disclosure for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paid and the effective tax rate reconciliation. ASU 2023-09 is effective for annual reporting periods beginning after December 15, 2024, with early adoption permitted and can be applied on either a prospective or retroactive basis. The Company is currently evaluating the impact that the adoption of this standard will have on its consolidated financial statements and related disclosures, but does not anticipate the impact will be material.</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disclosure of specific expense categories in the notes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annual periods beginning after December 15, 2026, with early adoption permitted and can be applied on either a prospective or retroactive basis. The Company is currently evaluating the impact that the adoption of this standard will have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updates reportable segment disclosure requirements primarily through enhanced disclosures about significant segment expenses. ASU 2023-07 is effective for annual reporting periods beginning after December 15, 2023 and interim periods within fiscal years beginning after December 15, 2024. The Company adopted ASU 2023-07 during the year ended December 31, 2024 on a retroactive basis for all years presented. See Note 16—Segment Information in the accompanying notes to the consolidated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20"/>
          </w:cols>
          <w:pgMar w:left="320" w:top="117" w:right="3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under construction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the years ended December 31, 2022, 2023 and 2024 was $5.0 million, $8.4 million and $11.8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&amp;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2022, due to low sales volumes and poor financial performance a decision was made to shutter the Company’s Village reporting unit. This included stopping manufacturing and liquidating the existing inventory of its Trophy Skin branded products resulting in goodwill impairment of $2.6 million for the year ended December 31, 2022. The Village reporting unit’s carrying value was written down to zero, its estimated fair value. The accumulated impairment balance was $2.6 million as of December 31, 2022, 2023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for years data)</w:t>
            </w:r>
          </w:p>
        </w:tc>
        <w:tc>
          <w:tcPr>
            <w:tcW w:w="100" w:type="dxa"/>
            <w:vAlign w:val="bottom"/>
          </w:tcPr>
          <w:p>
            <w:pPr>
              <w:spacing w:after="0"/>
              <w:rPr>
                <w:sz w:val="12"/>
                <w:szCs w:val="12"/>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Domain names</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1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years data)</w:t>
            </w:r>
          </w:p>
        </w:tc>
        <w:tc>
          <w:tcPr>
            <w:tcW w:w="100" w:type="dxa"/>
            <w:vAlign w:val="bottom"/>
          </w:tcPr>
          <w:p>
            <w:pPr>
              <w:spacing w:after="0"/>
              <w:rPr>
                <w:sz w:val="12"/>
                <w:szCs w:val="12"/>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Domain names</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Amortization expense recorded for intangible assets was approximately $4.6 million, $3.7 million and $3.1 million for the years ended December 31, 2022, 2023 and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December 31, 2024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Other Assets and Liabilities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17"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Operating Leases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primarily for the use of office and warehouse space, expiring at various dates through 2037. The Company’s right-of-use assets and lease liability include options to extend or terminate the lease when it is reasonably certain they will be exercised. The Company considers these options in determining the lease term on a lease-by-lease basis. The Company separately accounts for lease components and non-lease components. None of the Company’s lease agreements contain material non-lease components, residual value guarantees or restrictive covenants. The Company has elected an accounting policy to not recognize short-term leases, which have a lease term of twelve months or less, on the consolidated balance sheets. The Company does not have any material short-term lease cost or leases with variable lease costs. Lease expense primarily related to operating lease costs and were included within operations, general and administrative and sales and marketing expenses in the consolidated statements of operations. The Company recorded lease expense of $5.8 million, $5.6 million and $7.1 million for the years ended December 31, 2022, 2023 and 2024,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 and Discount Rate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lease term (in years) and discount rate related to the operating leases were as follows:</w:t>
      </w:r>
    </w:p>
    <w:p>
      <w:pPr>
        <w:spacing w:after="0" w:line="20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0" w:type="dxa"/>
            <w:vAlign w:val="bottom"/>
          </w:tcPr>
          <w:p>
            <w:pPr>
              <w:spacing w:after="0"/>
              <w:rPr>
                <w:sz w:val="1"/>
                <w:szCs w:val="1"/>
                <w:color w:val="auto"/>
              </w:rPr>
            </w:pPr>
          </w:p>
        </w:tc>
      </w:tr>
      <w:tr>
        <w:trPr>
          <w:trHeight w:val="468"/>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present value of the Company’s operating lease liabilities as of December 31, 2024 is as follows: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other information related to leases:</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operating cash flows for lease arrangements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17"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Credit Facilities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outstanding balance under the Company’s revolving line of credit facility was $0 as of December 31, 2023 and 2024 and the amount available to draw to was $50.0 million as of December 31, 2023 and 2024. The revolving line of credit has a maturity date in March 2027 and will bear interest at a variable base rate plus an applicable margin ranging from 0.75% to 2.50%. The commitment fees on the unused portion range from 0.20% to 0.35%.</w:t>
      </w:r>
    </w:p>
    <w:p>
      <w:pPr>
        <w:spacing w:after="0" w:line="12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Company’s credit agreement contains various financial, affirmative and negative covenants. As of December 31, 2024, the Company was in compliance with all covenants outlined in the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by level, within the fair value hierarchy, the Company’s assets and liabilities measured at fair value on a recurring basis: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8"/>
        </w:trPr>
        <w:tc>
          <w:tcPr>
            <w:tcW w:w="6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remaining liabilities measured at fair value on a recurring basis were immaterial for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May 2020, 15,750,477 shares of Series A Preferred Stock were issued at an issuance price and liquidation preference of $3.32 per share, subject to an accruing preferred dividend of 17.5% per annum. Proceeds, net of issuance costs, totaled $52.1 million.</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September 2021, the Company issued 13,215,614 shares of Series B Preferred Stock at $17.01 per share (the “Series B Original Issue Price”). Proceeds, net of issuance costs, totaled $218.5 million.</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Series B Preferred Stock financing, the Company amended and restated its Certificate of Incorporation (“Certificate”). As a result of the modification of the Certificate, the dividend rights of the Series A Preferred Stock were terminated and the issue price was modified from $3.32 per share to $7.44 per share (the “Series A Adjusted Issue Price”). The Company accounted for these changes as a modification of the existing Series A Preferred Stock given the nature of the amendment and designs of the parties to have a value for value exchange of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and Series B Preferred stock (collectively, the “convertible preferred stock”) outstanding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44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Issuance price per</w:t>
            </w:r>
          </w:p>
        </w:tc>
        <w:tc>
          <w:tcPr>
            <w:tcW w:w="15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120" w:type="dxa"/>
            <w:vAlign w:val="bottom"/>
          </w:tcPr>
          <w:p>
            <w:pPr>
              <w:spacing w:after="0"/>
              <w:rPr>
                <w:sz w:val="11"/>
                <w:szCs w:val="11"/>
                <w:color w:val="auto"/>
              </w:rPr>
            </w:pPr>
          </w:p>
        </w:tc>
        <w:tc>
          <w:tcPr>
            <w:tcW w:w="13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52,073</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218,528</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17"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44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Issuance price per</w:t>
            </w:r>
          </w:p>
        </w:tc>
        <w:tc>
          <w:tcPr>
            <w:tcW w:w="15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120" w:type="dxa"/>
            <w:vAlign w:val="bottom"/>
          </w:tcPr>
          <w:p>
            <w:pPr>
              <w:spacing w:after="0"/>
              <w:rPr>
                <w:sz w:val="11"/>
                <w:szCs w:val="11"/>
                <w:color w:val="auto"/>
              </w:rPr>
            </w:pPr>
          </w:p>
        </w:tc>
        <w:tc>
          <w:tcPr>
            <w:tcW w:w="13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52,073</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218,528</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issuance of the Series B Preferred Stock, the Series A and Series B Preferred Stock contained the following terms: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holders of Series B Preferred Stock are entitled to cumulative dividends at a rate of 8.0% of the Series B Original Issue Price per share, if and when declared by the Company’s board of directors. The holders of Series B Preferred Stock are entitled to receive dividends on a pari passu basis, prior to and in preference to any dividends to common stockholders. The Series B Preferred Stock had $40.4 million and $58.4 million of cumulative undeclared dividends for the year ended December 31, 2023 and 2024, respectively.</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amended Certificate dated September 7, 2021, the terms for the Series A Preferred Stock were amended, and the right to receive cumulative dividends was terminated. Accordingly, the Series A Preferred Stock had no cumulative undeclared dividends as of December 31, 2023 and 2024. The holders of Series A Preferred Stock are entitled to receive any dividends on a pari passu basis to any dividends to common stockholders as may be declared by the board of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during the years ended December 31, 2022, 2023 or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of (i) any liquidation, dissolution or winding up of the Company, (ii) the consummation of certain mergers or consolidations, (iii) certain change of control transactions (each, a “Deemed Liquidation Event”), the holders of Series A and Series B Preferred Stock are entitled to receive a liquidation preference, on a pari passu basis, and prior and in preference to the holders of Founding Voting Preferred Stock, Founding Non-Voting Preferred Stock and common stock.</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receive an amount equal to (i) (a) for the holders of the Series A Preferred Stock, an amount per share equal the Series A Adjusted Issue Price plus dividends declared but unpaid thereon, (b) for the holders of the Series B Preferred Stock, an amount per share equal to the Series B Original Issue Price per share, plus any dividends accrued but unpaid, whether or not declared, together with any other dividends declared but unpaid or (ii) such amount per share as would have been payable had all shares of Series A and Series B Preferred Stock been converted into common stock immediately prior a Deemed Liquidation Event. If the assets available for distribution are insufficient to pay such amounts, then the available assets will be distributed ratably among the holders of Series A and Series B Preferred Stock in proportion to the full amount each holder is otherwise entitled to receive.</w:t>
      </w:r>
    </w:p>
    <w:p>
      <w:pPr>
        <w:spacing w:after="0" w:line="13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After payment to the holders of the Series A and Series B Preferred Stock, the remaining assets of the Company legally available for distribution shall be distributed among the holders of the Founding Voting Preferred Stock, Founding Non-Voting Preferred Stock and common stock in an amount per share equal to its full preferential amount plus all declared and unpaid 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each share of Series A and Series B Preferred Stock are entitled to one vote per each share of common stock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17"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holders of Series A Preferred Stock, voting as a separate class, have the right to elect one director. The holders of Series B Preferred Stock, voting as a separate class, have the right to elect two directors. The holders of record of the shares of Founder Voting Preferred Stock, exclusively and as a separate class, have the right to elect nine directors. The holders of record of the shares of common stock and of any other class or series of voting stock (including the Series A Preferred Stock, Series B Preferred Stock and Founder Voting Preferred Stock), exclusively and voting together as a single class, shall be entitled to elect the balance of the total number of directors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holders of each share of convertible preferred stock have the option to convert each share of preferred stock at any time into a number of shares of common stock determined by dividing, for the Series A Preferred Stock, the Series A Adjusted Issue Price by the Series A Preferred Stock conversion price, and in the case of Series B Preferred Stock, the Series B Original Issue Price by the Series B Preferred Stock conversion price in effect at the time of conversion. The Series A Adjusted Issue Price and the Series B Original Issue Price are subject to adjustments for certain dilutive issuances, splits, combinations and other recapitalizations or reorganizations.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Series B Preferred Stock have a special conversion ratio in connection with closing an initial public offering, direct listing or special purpose acquisition company transaction (any such transaction, an “Offering”). Each share of Series B Preferred Stock shall be convertible, at the option of the holder, in connection with an Offering, into a number of shares of common stock determined by dividing the Series B Original Issue Price by the lesser of (a) the Series B Preferred Stock conversion price then in effect and (b) the price per share of the Company’s common stock sold in any such Offering (before discounts and commissions), multiplied by a percentage determined as the difference between 100% and the computed discount rate. As of January 1, 2023, the discount rate equaled 25% and increases 5% every six months thereafter, until December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7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Series A and Series B Preferred Stock is contingently redeemable upon a Deemed Liquidation Events or sale of substantially all the assets of the Company. The convertible preferred stock is not mandatorily redeemable, but since a Deemed Liquidation Event would constitute a redemption event outside of the Company’s control, all shares of the convertible preferred stock have been presented in mezzanine equity on the consolidated balance sheets.</w:t>
      </w:r>
    </w:p>
    <w:p>
      <w:pPr>
        <w:spacing w:after="0" w:line="1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event of a Deemed Liquidation Event, the Company is required to redeem shares of Series A and Series B Preferred Stock at the Series A Adjusted Issue Price and Series B Original Issue Price, respectively, (as adjusted for any dilutive issuances, splits, combinations and other recapitalizations or reorganizations). The carrying values of convertible preferred stock have not been adjusted to their liquidation preferences as these events have not occurred as of December 31, 2024. Carrying values will be adjusted to their liquidation preferences, inclusive of the Series B Preferred Stock preferred return, if and when it becomes probable that such events will occur.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one class of common stock with a par value of $0.001. Each share of common stock is entitled to one vote. Holders of common stock are entitled to receive any dividends as may be declared by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2024, 940,855 shares of Founder Voting Preferred Stock, $0.001 par value, were issued and outstanding and 85,851,519 shares of Founder Non-Voting Preferred Stock, $0.001 par value, were issued and outstanding (collectively, the “preferred stock”). Holders of the preferred stock are entitled to receive any dividends as may be declared by the board of directors on an as-converted basis with common stockholders. Each share of preferred stock has liquidation preferences similar to those of one share of common stock. Each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320" w:top="117" w:right="3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outstanding shares of Founder Voting Preferred Stock shall be entitled to 1,000 votes for each share of Founder Voting Preferred Stock held, voting together with holders of Series A and Series B Preferred Stock and common stock as a single class. The holders of record of the shares of Founder Voting Preferred Stock, exclusively and as a separate class, shall be entitled to elect nine directors of the Corporation. Each single share of Founder Voting Preferred Stock shall be convertible, at the option of the holder thereof, at any time and from time to time and without the payment of additional consideration by the holder thereof, into one fully paid and non-assessable share of common stock or Founder Non-Voting Preferred Stock. Each share of Founder Non-Voting Preferred Stock shall be convertible, at the option of the holder thereof, at any time and from time to time and without the payment of additional consideration by the holder thereof, into one fully paid and non-assessable share of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Authorized, Issued and Reserved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on an as-converted basis for future issuance: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1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under the 2019 Equity Incentive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Authorized but not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common shares authorized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and 2019 Stock Plans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September 2018, the board of directors adopted the 2018 Equity Incentive Plan (the “2018 Plan”). Under the 2018 Plan, the board of directors may grant stock options, restricted stock, RSUs, stock appreciation rights or a dividend equivalent to eligible employees, officers, non-employee directors and consultants. On January 28, 2019, the stockholders of Pattern Inc. contributed all shares of Pattern Inc. to Pattern Group Inc. in exchange for shares in Pattern Group Inc. As a result of this contribution and exchange, all outstanding RSUs were transferred to Pattern Group Inc. and the 2018 Plan was terminated. In January 2019, Pattern Group Inc. adopted the 2019 Equity Incentive Plan (as amended, the “2019 Plan”). Common stock purchased under the 2019 Plan is subject to certain restrictions, including the right of first refusal by the Company for sale or transfer of shares to outside parties.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grants RSUs to its employees, directors and advisors under the 2019 Plan. These RSUs include both service-based and performance-based vesting conditions. The service-based vesting condition for these awards is generally satisfied by rendering continuous service, generally for 4 years, during which time a quarter of the award vest annually. The performance-based vesting condition is satisfied upon the sale of the Company’s common stock upon the consummation of a firm commitment underwritten initial public offering pursuant to an effective registration statement under the Securities Act or a sale event, which constitutes a change in the ownership or effective control of the Company or in the ownership of a substantial portion of the assets (“Liquidity Event”).</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records stock-based compensation expense in connection with these RSUs based on the fair market value of its common stock on the grant date using the accelerated attribution method when it is probable the performance-based vesting condition will be achieved. As of December 31, 2024, no stock-based compensation expense was recognized for the RSUs as a Liquidity Event had not occurred. The total unrecognized stock-based compensation expense related to these awards was $85.9 million as of December 31, 2024. If the performance-based vesting condition had been satisfied on December 31, 2024, the Company would have recognized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17"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compensation expense of $36.8 million, and unrecognized stock-based compensation expense of $49.1 million would have been recognized over a weighted-average remaining requisite service period of 2.4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fair values)</w:t>
            </w:r>
          </w:p>
        </w:tc>
        <w:tc>
          <w:tcPr>
            <w:tcW w:w="158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798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valuation of RSUs granted under the 2019 Plan, was determined in accordance with the guidance provided by the American Institute of American Institute of Certified Public Accountants in its Accounting &amp; Valuation Guide. An equity value was estimated using a weighted average of the guideline public company method and the backsolve method (market approaches). These methods considered information from a selection of comparable publicly traded companies and the Company’s recent Series A and Series B Preferred Stock transactions. For the public company method, valuation multiples are calculated from selected company operating data to provide an indication of how much a current investor in the marketplace is willing to pay for a company with characteristics similar to the Company. These valuation multiples are evaluated and adjusted based on the strengths and weaknesses of the Company relative to those of the selected guideline companies. The multiples are applied to the Company’s operating data to arrive at a relative indication of fair value. Enterprise value is next allocated to differing security holders in the capitalization schedule using the Option Pricing Method (the “OPM”). The OPM utilizes breakpoints based on various terms of the stockholder agreements upon liquidation of the enterprise, the level of seniority among the securities, dividend policy, conversion ratios and cash allocations. Estimated volatility ranged from 55% to 60% and the discount for lack of marketability ranged from 14.8% to 20.0%.</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Application involves the use of estimates, judgment and assumptions that are highly complex and subjective, such as those regarding expected future revenue and EBITDA, market multiples, the selection of comparable companies, the lack of marketability of the Company’s common stock, precedent transactions involving the Company’s shares, market performance of comparable publicly traded companies, U.S. and global capital market conditions and the probability of possible future events. Changes in any or all of these estimates and assumptions or the relationships between those assumptions impact the valuations as of each valuation date and may have a material impact on the valuation of the Company’s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Provision for Income Taxes</w:t>
      </w:r>
    </w:p>
    <w:p>
      <w:pPr>
        <w:spacing w:after="0" w:line="175"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The Company is taxed as a C-corporation and recognizes deferred tax assets and liabilities for future tax consequences attributable to the differences between the financial statement carrying value of existing assets and liabilities and their respective tax bases. Deferred tax assets and liabilities are measured using enacted tax rates in effect for the fiscal year in which those temporary differences are expected to be recovered or settled. Valuation allowances are established when necessary to reduce deferred tax assets to the amount expected to be realized.</w:t>
      </w:r>
    </w:p>
    <w:p>
      <w:pPr>
        <w:spacing w:after="0" w:line="12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Organization for Economic Co-operation and Development (the “OECD”) has introduced a framework to implement a global minimum corporate tax of 15%, referred to as Pillar Two. Many aspects of Pillar Two became effective beginning in calendar year 2024 and other aspects will be effective beginning in calendar year 2025. While it is uncertain whether the U.S. will adopt Pillar Two, certain countries in which the Company operates have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17" w:right="339" w:bottom="1440" w:gutter="0" w:footer="0" w:header="0"/>
        </w:sectPr>
      </w:pPr>
    </w:p>
    <w:bookmarkStart w:id="216" w:name="page217"/>
    <w:bookmarkEnd w:id="216"/>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adopted legislation or are in the process of introducing legislation to implement Pillar Two. While the Company does not expect Pillar Two to have a material impact on its effective tax rate, the Company’s analysis is ongoing as the OECD releases additional guidance and countries implement additional legislation.</w:t>
      </w:r>
    </w:p>
    <w:p>
      <w:pPr>
        <w:spacing w:after="0" w:line="122" w:lineRule="exact"/>
        <w:rPr>
          <w:sz w:val="20"/>
          <w:szCs w:val="20"/>
          <w:color w:val="auto"/>
        </w:rPr>
      </w:pPr>
    </w:p>
    <w:p>
      <w:pPr>
        <w:ind w:left="20" w:right="6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including various state and local jurisdictions. The Company’s subsidiaries file income tax returns in the United Kingdom, Australia, Germany, Hong Kong, Serbia, India, Singapore, Japan, Poland, China, United Arab Emirates and Canada. The Company is subject to federal income tax as well as income tax of multiple state and foreign jurisdictions.</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provision (benefit)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U.S. and international components of income before income taxes are as follows: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&amp; State</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right="560"/>
        <w:spacing w:after="0" w:line="282" w:lineRule="auto"/>
        <w:rPr>
          <w:sz w:val="20"/>
          <w:szCs w:val="20"/>
          <w:color w:val="auto"/>
        </w:rPr>
      </w:pPr>
      <w:r>
        <w:rPr>
          <w:rFonts w:ascii="Times New Roman" w:cs="Times New Roman" w:eastAsia="Times New Roman" w:hAnsi="Times New Roman"/>
          <w:sz w:val="18"/>
          <w:szCs w:val="18"/>
          <w:color w:val="auto"/>
        </w:rPr>
        <w:t>The items accounting for differences between income taxes computed at the federal statutory rate and the provision recorded for income taxes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impact of foreign earnings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 taxes, net of federal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Permanent differences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Uncertain tax positions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&amp; development tax credit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1260"/>
          </w:cols>
          <w:pgMar w:left="300" w:top="117" w:right="339" w:bottom="1440" w:gutter="0" w:footer="0" w:header="0"/>
          <w:type w:val="continuous"/>
        </w:sectPr>
      </w:pPr>
    </w:p>
    <w:bookmarkStart w:id="217" w:name="page218"/>
    <w:bookmarkEnd w:id="217"/>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assets consisted of the following as 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(UNICAP)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&amp; development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The Company recorded a valuation allowance of $5.1 million and $7.5 million as of December 31, 2023 and 2024, respectively, to reduce its deferred tax assets related to foreign net operating losses and Utah state research and development tax credits to their net realizable value. The Company has determined that as a result of uncertainty related to the usability of the net operating loss and research and development benefits a valuation allowance was required. Changes in the valuation allowance is detailed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60" w:type="dxa"/>
            <w:vAlign w:val="bottom"/>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vMerge w:val="continue"/>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to valuation allowance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Company has net operating loss carryovers by jurisdiction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Expiration (year)</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60"/>
          </w:cols>
          <w:pgMar w:left="300" w:top="117" w:right="339" w:bottom="1440" w:gutter="0" w:footer="0" w:header="0"/>
        </w:sectPr>
      </w:pPr>
    </w:p>
    <w:bookmarkStart w:id="218" w:name="page219"/>
    <w:bookmarkEnd w:id="218"/>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has the following tax credit carryover: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Expiration (year)</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 research &amp; development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when it is more likely than not, based on the technical merits, that the position will be sustained upon examination. The following table summarizes the activity related to unrecognized tax benefits: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2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2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to unrecognized tax benefits taken in prior years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to unrecognized tax benefits related to the current year</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2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lapse of statute of limitations</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8"/>
        </w:trPr>
        <w:tc>
          <w:tcPr>
            <w:tcW w:w="20" w:type="dxa"/>
            <w:vAlign w:val="bottom"/>
          </w:tcPr>
          <w:p>
            <w:pPr>
              <w:spacing w:after="0"/>
              <w:rPr>
                <w:sz w:val="21"/>
                <w:szCs w:val="21"/>
                <w:color w:val="auto"/>
              </w:rPr>
            </w:pPr>
          </w:p>
        </w:tc>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were $0.3 million, $0.5 million and $0.5 million for the years ended December 31, 2022, 2023 and 2024, respectively. The Company records interest and penalties associated with unrecognized tax benefits as a component of income tax expense. The amount of accrued penalties and interest included in the total balance of unrecognized tax benefits is insignificant in 2023 and 2024. The Company is generally no longer subject to income tax examinations by federal jurisdictions for years before 2021, state and local years before 2020 and foreign years before 2019.</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2024, the Company did not have any future payments under non-cancelable purchase obligations.</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Loss contingencies are recorded when it is probable that a liability has been incurred and the amount of the loss can be reasonably estimated. Material contingencies are disclosed when it is believed a loss is not probable but reasonably possible. Accounting for contingencies requires the use of judgment related to both the likelihood of a loss and the estimate of the amount or range of loss. The Company is not presently a party to any legal proceedings, that if determined adversely to the Company, would individually or in the aggregate have a materially adverse effect on the business, results of operations, financial condition or cash flows.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left="20" w:right="1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brand partners, lessors, investors, directors, officers, employees and other parties with respect to certain matters. Indemnification may include losses from the breach of such agreements, services the Company provides or third-party intellectual property infringement claims. These indemnifications may survive termination of the underlying agreement and the maximum potential amount of future indemnification payments may not be subject to a cap.</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Benefit Plan</w:t>
      </w:r>
    </w:p>
    <w:p>
      <w:pPr>
        <w:spacing w:after="0" w:line="175"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The Company has an employee retirement benefit plan (the “Plan”) under Section 401(k) of the Internal Revenue Code. The Plan covers employees who are U.S. citizens, are at least 21 years of age and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60"/>
          </w:cols>
          <w:pgMar w:left="300" w:top="117"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employed by the Company longer than 90 days. The Company contributes a safe harbor match in an amount equal to employee contributions up to 3% of the participating employee’s compensation and matches an amount equal to half of the employee contributions between 3% and 5%. These contributions are subject to ERISA requirements. Total contributions by the Company to the Plan were $1.4 million, $2.0 million and $2.5 million during the years ended December 31, 2022, 2023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Lease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iServe Investments, LLC</w:t>
      </w:r>
    </w:p>
    <w:p>
      <w:pPr>
        <w:spacing w:after="0" w:line="175" w:lineRule="exact"/>
        <w:rPr>
          <w:sz w:val="20"/>
          <w:szCs w:val="20"/>
          <w:color w:val="auto"/>
        </w:rPr>
      </w:pPr>
    </w:p>
    <w:p>
      <w:pPr>
        <w:ind w:right="860"/>
        <w:spacing w:after="0" w:line="312" w:lineRule="auto"/>
        <w:rPr>
          <w:sz w:val="20"/>
          <w:szCs w:val="20"/>
          <w:color w:val="auto"/>
        </w:rPr>
      </w:pPr>
      <w:r>
        <w:rPr>
          <w:rFonts w:ascii="Times New Roman" w:cs="Times New Roman" w:eastAsia="Times New Roman" w:hAnsi="Times New Roman"/>
          <w:sz w:val="17"/>
          <w:szCs w:val="17"/>
          <w:color w:val="auto"/>
        </w:rPr>
        <w:t>The Company leases certain office and warehouse space from a related party, iServe Investments, LLC, which is wholly owned by two majority stockholders. Total lease cost and related expenses for the lease was not material for the years ended December 31, 2022, 2023 and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manages its business on a consolidated basis and operates as a single operating and reportable segment. The Company primarily derives its revenue in the United States by selling products to customers via online marketplaces. The accounting policies of the reportable segment is the same as those described in Note 2—Summary of Significant Accounting Policies.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who reviews financial information on a consolidated basis. The CODM uses consolidated net income to assess financial performance and allocate resources. Net income is used by the CODM to make key operating decisions. The CODM does not review assets in evaluating the results of the reportable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and reportable segment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2023 and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1,796,161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1,014,812</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Fulfillment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272,288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Marketplace commissions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257,915</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Sales, general and administrative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0" w:type="dxa"/>
            <w:vAlign w:val="bottom"/>
          </w:tcPr>
          <w:p>
            <w:pPr>
              <w:spacing w:after="0"/>
              <w:rPr>
                <w:sz w:val="1"/>
                <w:szCs w:val="1"/>
                <w:color w:val="auto"/>
              </w:rPr>
            </w:pPr>
          </w:p>
        </w:tc>
      </w:tr>
      <w:tr>
        <w:trPr>
          <w:trHeight w:val="223"/>
        </w:trPr>
        <w:tc>
          <w:tcPr>
            <w:tcW w:w="6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220" w:hanging="212"/>
        <w:spacing w:after="0"/>
        <w:tabs>
          <w:tab w:leader="none" w:pos="2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Fulfillment costs include costs incurred from third-party fulfillment centers and cost to operate and staff the Company’s fulfillment centers.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Marketplace Commissions includes referral fees charged by the various online marketplaces.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general and administrative relate to employee headcount and other selling and general administrative costs.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Technology represents items included in research in development within the Consolidated Statement of Operations and the amortization of capitalized internally developed software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2—Summary of Significant Accounting Policies for additional information about revenue disaggregation.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17"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long-lived tangible assets, as well as the Company’s operating lease right-of-use assets recognized on the Consolidated Balance Sheets were located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awarded performance-based restricted stock units to its CEO with vesting subject to the satisfaction of certain service-based, liquidity-based and milestone-based requirements. The value of this award is expected to be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have been evaluated through March 17, 2025,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17"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expect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1,138,556</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645,933</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 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217,220</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1,079,019</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62,613</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Income allocable to participating Series A Preferred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B Preferred Stock dividend - undeclared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0" w:type="dxa"/>
            <w:vAlign w:val="bottom"/>
          </w:tcPr>
          <w:p>
            <w:pPr>
              <w:spacing w:after="0"/>
              <w:rPr>
                <w:sz w:val="1"/>
                <w:szCs w:val="1"/>
                <w:color w:val="auto"/>
              </w:rPr>
            </w:pPr>
          </w:p>
        </w:tc>
      </w:tr>
      <w:tr>
        <w:trPr>
          <w:trHeight w:val="155"/>
        </w:trPr>
        <w:tc>
          <w:tcPr>
            <w:tcW w:w="470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Net income attributable to common and preferred</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32,083</w:t>
            </w:r>
          </w:p>
        </w:tc>
        <w:tc>
          <w:tcPr>
            <w:tcW w:w="0" w:type="dxa"/>
            <w:vAlign w:val="bottom"/>
          </w:tcPr>
          <w:p>
            <w:pPr>
              <w:spacing w:after="0"/>
              <w:rPr>
                <w:sz w:val="1"/>
                <w:szCs w:val="1"/>
                <w:color w:val="auto"/>
              </w:rPr>
            </w:pPr>
          </w:p>
        </w:tc>
      </w:tr>
      <w:tr>
        <w:trPr>
          <w:trHeight w:val="221"/>
        </w:trPr>
        <w:tc>
          <w:tcPr>
            <w:tcW w:w="4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per share attributable to common and preferred</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 (Note 2):</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and preferred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90,591</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90,591</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17"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w:t>
            </w: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foreign currency translation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4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8"/>
        </w:trPr>
        <w:tc>
          <w:tcPr>
            <w:tcW w:w="4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17"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r>
      <w:tr>
        <w:trPr>
          <w:trHeight w:val="223"/>
        </w:trPr>
        <w:tc>
          <w:tcPr>
            <w:tcW w:w="8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50,445</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r>
      <w:tr>
        <w:trPr>
          <w:trHeight w:val="223"/>
        </w:trPr>
        <w:tc>
          <w:tcPr>
            <w:tcW w:w="80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23"/>
        </w:trPr>
        <w:tc>
          <w:tcPr>
            <w:tcW w:w="80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8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17"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expect per share data)</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3"/>
                <w:szCs w:val="13"/>
                <w:color w:val="auto"/>
              </w:rPr>
            </w:pP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8000" w:type="dxa"/>
            <w:vAlign w:val="bottom"/>
            <w:tcBorders>
              <w:top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0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8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56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Convertible Preferred stock, $0.001 par value: 28,972 shares authorized; 28,966 shares issued and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refer to Note 6 for aggregate liquidation preference</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00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$0.001 par value: 140,287 and 154,100 shares authorized, respectively; 3,799 shares issued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outstanding</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Preferred stock, $0.001 par value: 88,869 shares authorized; 86,792 shares issued and outstanding</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17"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Convertible Preferred Stock and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660" w:type="dxa"/>
            <w:vAlign w:val="bottom"/>
            <w:gridSpan w:val="4"/>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660" w:type="dxa"/>
            <w:vAlign w:val="bottom"/>
            <w:gridSpan w:val="4"/>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vMerge w:val="restart"/>
          </w:tcPr>
          <w:p>
            <w:pPr>
              <w:spacing w:after="0"/>
              <w:rPr>
                <w:sz w:val="10"/>
                <w:szCs w:val="10"/>
                <w:color w:val="auto"/>
              </w:rPr>
            </w:pPr>
          </w:p>
        </w:tc>
        <w:tc>
          <w:tcPr>
            <w:tcW w:w="16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40" w:type="dxa"/>
            <w:vAlign w:val="bottom"/>
            <w:gridSpan w:val="3"/>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8"/>
                <w:szCs w:val="8"/>
                <w:color w:val="auto"/>
              </w:rPr>
            </w:pPr>
          </w:p>
        </w:tc>
        <w:tc>
          <w:tcPr>
            <w:tcW w:w="800" w:type="dxa"/>
            <w:vAlign w:val="bottom"/>
            <w:gridSpan w:val="2"/>
          </w:tcPr>
          <w:p>
            <w:pPr>
              <w:ind w:left="60"/>
              <w:spacing w:after="0" w:line="102"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8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6"/>
                <w:szCs w:val="16"/>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38,999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42,400</w:t>
            </w:r>
          </w:p>
        </w:tc>
        <w:tc>
          <w:tcPr>
            <w:tcW w:w="0" w:type="dxa"/>
            <w:vAlign w:val="bottom"/>
          </w:tcPr>
          <w:p>
            <w:pPr>
              <w:spacing w:after="0"/>
              <w:rPr>
                <w:sz w:val="1"/>
                <w:szCs w:val="1"/>
                <w:color w:val="auto"/>
              </w:rPr>
            </w:pPr>
          </w:p>
        </w:tc>
      </w:tr>
      <w:tr>
        <w:trPr>
          <w:trHeight w:val="122"/>
        </w:trPr>
        <w:tc>
          <w:tcPr>
            <w:tcW w:w="200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Total other comprehensive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17,657</w:t>
            </w:r>
          </w:p>
        </w:tc>
        <w:tc>
          <w:tcPr>
            <w:tcW w:w="0" w:type="dxa"/>
            <w:vAlign w:val="bottom"/>
          </w:tcPr>
          <w:p>
            <w:pPr>
              <w:spacing w:after="0"/>
              <w:rPr>
                <w:sz w:val="1"/>
                <w:szCs w:val="1"/>
                <w:color w:val="auto"/>
              </w:rPr>
            </w:pPr>
          </w:p>
        </w:tc>
      </w:tr>
      <w:tr>
        <w:trPr>
          <w:trHeight w:val="16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3,373</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87,400</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56,656</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60,539</w:t>
            </w:r>
          </w:p>
        </w:tc>
        <w:tc>
          <w:tcPr>
            <w:tcW w:w="0" w:type="dxa"/>
            <w:vAlign w:val="bottom"/>
          </w:tcPr>
          <w:p>
            <w:pPr>
              <w:spacing w:after="0"/>
              <w:rPr>
                <w:sz w:val="1"/>
                <w:szCs w:val="1"/>
                <w:color w:val="auto"/>
              </w:rPr>
            </w:pPr>
          </w:p>
        </w:tc>
      </w:tr>
      <w:tr>
        <w:trPr>
          <w:trHeight w:val="127"/>
        </w:trPr>
        <w:tc>
          <w:tcPr>
            <w:tcW w:w="2000" w:type="dxa"/>
            <w:vAlign w:val="bottom"/>
            <w:shd w:val="clear" w:color="auto" w:fill="CCEEFF"/>
          </w:tcPr>
          <w:p>
            <w:pPr>
              <w:ind w:left="240"/>
              <w:spacing w:after="0" w:line="128" w:lineRule="exact"/>
              <w:rPr>
                <w:sz w:val="20"/>
                <w:szCs w:val="20"/>
                <w:color w:val="auto"/>
              </w:rPr>
            </w:pPr>
            <w:r>
              <w:rPr>
                <w:rFonts w:ascii="Times New Roman" w:cs="Times New Roman" w:eastAsia="Times New Roman" w:hAnsi="Times New Roman"/>
                <w:sz w:val="13"/>
                <w:szCs w:val="13"/>
                <w:color w:val="auto"/>
              </w:rPr>
              <w:t>Converted preferred to common</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00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Total other comprehensive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17,800</w:t>
            </w:r>
          </w:p>
        </w:tc>
        <w:tc>
          <w:tcPr>
            <w:tcW w:w="0" w:type="dxa"/>
            <w:vAlign w:val="bottom"/>
          </w:tcPr>
          <w:p>
            <w:pPr>
              <w:spacing w:after="0"/>
              <w:rPr>
                <w:sz w:val="1"/>
                <w:szCs w:val="1"/>
                <w:color w:val="auto"/>
              </w:rPr>
            </w:pP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86,792</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74,456</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79,194</w:t>
            </w:r>
          </w:p>
        </w:tc>
        <w:tc>
          <w:tcPr>
            <w:tcW w:w="0" w:type="dxa"/>
            <w:vAlign w:val="bottom"/>
          </w:tcPr>
          <w:p>
            <w:pPr>
              <w:spacing w:after="0"/>
              <w:rPr>
                <w:sz w:val="1"/>
                <w:szCs w:val="1"/>
                <w:color w:val="auto"/>
              </w:rPr>
            </w:pPr>
          </w:p>
        </w:tc>
      </w:tr>
      <w:tr>
        <w:trPr>
          <w:trHeight w:val="351"/>
        </w:trPr>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660" w:type="dxa"/>
            <w:vAlign w:val="bottom"/>
            <w:gridSpan w:val="4"/>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660" w:type="dxa"/>
            <w:vAlign w:val="bottom"/>
            <w:gridSpan w:val="4"/>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vMerge w:val="restart"/>
          </w:tcPr>
          <w:p>
            <w:pPr>
              <w:spacing w:after="0"/>
              <w:rPr>
                <w:sz w:val="10"/>
                <w:szCs w:val="10"/>
                <w:color w:val="auto"/>
              </w:rPr>
            </w:pPr>
          </w:p>
        </w:tc>
        <w:tc>
          <w:tcPr>
            <w:tcW w:w="16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00" w:type="dxa"/>
            <w:vAlign w:val="bottom"/>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40" w:type="dxa"/>
            <w:vAlign w:val="bottom"/>
            <w:gridSpan w:val="3"/>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8"/>
                <w:szCs w:val="8"/>
                <w:color w:val="auto"/>
              </w:rPr>
            </w:pPr>
          </w:p>
        </w:tc>
        <w:tc>
          <w:tcPr>
            <w:tcW w:w="800" w:type="dxa"/>
            <w:vAlign w:val="bottom"/>
            <w:gridSpan w:val="2"/>
          </w:tcPr>
          <w:p>
            <w:pPr>
              <w:ind w:left="60"/>
              <w:spacing w:after="0" w:line="102"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8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6"/>
                <w:szCs w:val="16"/>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86,792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106,855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108,724</w:t>
            </w:r>
          </w:p>
        </w:tc>
        <w:tc>
          <w:tcPr>
            <w:tcW w:w="0" w:type="dxa"/>
            <w:vAlign w:val="bottom"/>
          </w:tcPr>
          <w:p>
            <w:pPr>
              <w:spacing w:after="0"/>
              <w:rPr>
                <w:sz w:val="1"/>
                <w:szCs w:val="1"/>
                <w:color w:val="auto"/>
              </w:rPr>
            </w:pPr>
          </w:p>
        </w:tc>
      </w:tr>
      <w:tr>
        <w:trPr>
          <w:trHeight w:val="170"/>
        </w:trPr>
        <w:tc>
          <w:tcPr>
            <w:tcW w:w="20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other comprehensive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22,802</w:t>
            </w:r>
          </w:p>
        </w:tc>
        <w:tc>
          <w:tcPr>
            <w:tcW w:w="0" w:type="dxa"/>
            <w:vAlign w:val="bottom"/>
          </w:tcPr>
          <w:p>
            <w:pPr>
              <w:spacing w:after="0"/>
              <w:rPr>
                <w:sz w:val="1"/>
                <w:szCs w:val="1"/>
                <w:color w:val="auto"/>
              </w:rPr>
            </w:pPr>
          </w:p>
        </w:tc>
      </w:tr>
      <w:tr>
        <w:trPr>
          <w:trHeight w:val="16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2025</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86,792</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129,657</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131,518</w:t>
            </w:r>
          </w:p>
        </w:tc>
        <w:tc>
          <w:tcPr>
            <w:tcW w:w="0" w:type="dxa"/>
            <w:vAlign w:val="bottom"/>
          </w:tcPr>
          <w:p>
            <w:pPr>
              <w:spacing w:after="0"/>
              <w:rPr>
                <w:sz w:val="1"/>
                <w:szCs w:val="1"/>
                <w:color w:val="auto"/>
              </w:rPr>
            </w:pPr>
          </w:p>
        </w:tc>
      </w:tr>
      <w:tr>
        <w:trPr>
          <w:trHeight w:val="127"/>
        </w:trPr>
        <w:tc>
          <w:tcPr>
            <w:tcW w:w="2000" w:type="dxa"/>
            <w:vAlign w:val="bottom"/>
            <w:shd w:val="clear" w:color="auto" w:fill="CCEEFF"/>
          </w:tcPr>
          <w:p>
            <w:pPr>
              <w:ind w:left="240"/>
              <w:spacing w:after="0" w:line="128" w:lineRule="exact"/>
              <w:rPr>
                <w:sz w:val="20"/>
                <w:szCs w:val="20"/>
                <w:color w:val="auto"/>
              </w:rPr>
            </w:pPr>
            <w:r>
              <w:rPr>
                <w:rFonts w:ascii="Times New Roman" w:cs="Times New Roman" w:eastAsia="Times New Roman" w:hAnsi="Times New Roman"/>
                <w:sz w:val="13"/>
                <w:szCs w:val="13"/>
                <w:color w:val="auto"/>
              </w:rPr>
              <w:t>Total other comprehensive</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income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0" w:type="dxa"/>
            <w:vAlign w:val="bottom"/>
          </w:tcPr>
          <w:p>
            <w:pPr>
              <w:spacing w:after="0"/>
              <w:rPr>
                <w:sz w:val="1"/>
                <w:szCs w:val="1"/>
                <w:color w:val="auto"/>
              </w:rPr>
            </w:pPr>
          </w:p>
        </w:tc>
      </w:tr>
      <w:tr>
        <w:trPr>
          <w:trHeight w:val="170"/>
        </w:trPr>
        <w:tc>
          <w:tcPr>
            <w:tcW w:w="20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23,781</w:t>
            </w:r>
          </w:p>
        </w:tc>
        <w:tc>
          <w:tcPr>
            <w:tcW w:w="0" w:type="dxa"/>
            <w:vAlign w:val="bottom"/>
          </w:tcPr>
          <w:p>
            <w:pPr>
              <w:spacing w:after="0"/>
              <w:rPr>
                <w:sz w:val="1"/>
                <w:szCs w:val="1"/>
                <w:color w:val="auto"/>
              </w:rPr>
            </w:pPr>
          </w:p>
        </w:tc>
      </w:tr>
      <w:tr>
        <w:trPr>
          <w:trHeight w:val="175"/>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270,601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86,792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153,438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155,078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17"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Pattern Inc. was incorporated in Utah in January 2013. Pattern Group Inc. (“Pattern” or the “Company”) was incorporated in Utah in January 2019, and subsequently converted to a Delaware corporation in May 2020. Following the Company’s incorporation, the stockholders of Pattern Inc. contributed all shares of Pattern Inc. to the Company in exchange for shares in the Company, and Pattern Inc. continued as a wholly-owned subsidiary of the Company.</w:t>
      </w:r>
    </w:p>
    <w:p>
      <w:pPr>
        <w:spacing w:after="0" w:line="10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Pattern, an ecommerce accelerator, uses its technology platform, data science and a team of global experts to drive growth for brands. The Company acquires inventory from brand partners to sell to consumers, enabling full control over content, pricing, logistics and customer service. Brand partners that contract with the Company operate in various industries including health and wellness, beauty and personal care, home and lifestyle, pet, sports and outdoors and consumer electronics.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those of Pattern and its wholly-owned subsidiaries. The accompanying condensed consolidated financial statements have been prepared pursuant to the rules and regulations of the Securities and Exchange Commission (the “SEC”) for interim financial reporting. These condensed consolidated financial statements are unaudited and, in our opinion, include all adjustments, consisting of normal recurring adjustments and accruals necessary for a fair presentation of our consolidated cash flows, operating results, and balance sheets for the periods presented. All intercompany accounts and transactions have been eliminated. Operating results for the periods presented are not necessarily indicative of the results that may be expected for 2025 due to seasonal and other factors. Certain information and footnote disclosures normally included in financial statements prepared in accordance with accounting principles generally accepted in the United States (“GAAP”) have been condensed or omitted in accordance with the rules and regulations of the SEC. These condensed consolidated financial statements should be read in conjunction with the audited consolidated financial statements and accompanying notes.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in the Company’s consolidated financial statements and accompanying notes. On an ongoing basis, management evaluates these estimates and judgments.</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Estimates are used for, but not limited to, determining the net realizable value and demand for inventory, allowance for sales returns, allowance for doubtful accounts, valuation allowances with respect to deferred tax assets, fair value of reporting units used in evaluation of goodwill impairment, the fair value of assets acquired and liabilities assumed in business combinations, the valuation of stock-based awards, the fair value of common stock and the incremental borrowing rate (“IBR”) used to measure operating lease liabilities. The Company bases these estimates on historical and anticipated results, trends and various other assumptions that it believes are reasonable under the circumstances, including assumptions as to future events. Actual results could differ from these estimates and any such differences may be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17"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source of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Amazon.com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997,783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Amazon marketplaces, international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online marketplaces and channels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62,455</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SaaS, consulting and 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1,052,199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was the only individual country accounting for more than 10% of total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shares outstanding of common stock, Founder Voting Preferred Stock and Founder Non-Voting Preferred Stock. Diluted earnings per share is calculated using the Company’s weighted-average shares outstanding of common stock, Founder Voting Preferred Stock and Founder Non-Voting Preferred Stock. The Founder Voting and Founder Non-Voting Preferred Stock are considered to be common stock equivalents for purposes of calculating earnings per share (“EPS”) given that they share equally with common stock in the liquidation of the Company’s net assets and do not contain an economic preference.</w:t>
      </w:r>
    </w:p>
    <w:p>
      <w:pPr>
        <w:spacing w:after="0" w:line="1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dilutive effect of Founder Voting Preferred Stock, Founder Non-Voting Preferred Stock and Series A Preferred Stock is reflected in diluted earnings per share by application of the more dilutive of the two-class method and if-converted method (two-class method only applies for periods of net income). The dilutive effect of Series B Preferred Stock is reflected in diluted earnings per share under the if-converted method. The if-converted method is calculated by assuming conversion at the beginning of the period or date of issuance, if later; and therefore, no dividend preference would accrue to the Series B Preferred Stock. Restricted stock units (“RSUs”) subject to conditions other than service conditions are considered contingently issuable shares and are included in the computation of dilutive shares only to the extent that the underlying performance condition is satisfied prior to the end of the reporting period or would be considered satisfied if the end of the reporting period were the end of the related contingency period and the results would be dilutive (see Note 8—Stock-Based Compensation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17"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earnings per share attributable to common and preferred stockholders: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allocable to participating Series A Preferred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Stock dividend - undeclared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and preferred stockholders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shares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Founder Voting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Founder Non-Voting Preferred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90,591</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90,591</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share attributable to common and preferred</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instruments outstanding as of period end were not reflected in diluted EPS as their effect for the periods presented would be anti-dilutive or are currently not exercisable for potential common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6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28,711</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Accounts receivable are comprised of receivables from the various online marketplaces, brand partners and other receivables, including, consulting clients and business-to-business sales. Accounts receivable are stated at the invoiced amount and are non-interest-bearing.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accounts receivable balance: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3"/>
                <w:szCs w:val="13"/>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Amazon.com</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partner receivables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(the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amending existing income tax disclosure guidance, primarily requiring more detailed disclosure for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paid and the effective tax rate reconciliation. ASU 2023-09 is effective for annual reporting periods beginning after December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17"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18"/>
          <w:szCs w:val="18"/>
          <w:color w:val="auto"/>
        </w:rPr>
        <w:t>with early adoption permitted and can be applied on either a prospective or retroactive basis. The Company is currently evaluating the impact that the adoption of this standard will have on its consolidated financial statements and related disclosures, but does not anticipate the impact will be material.</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disclosure of specific expense categories in the notes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annual periods beginning after December 15, 2026, and interim reporting periods within annual reporting periods beginning after December 15 2027, with early adoption permitted and can be applied on either a prospective or retroactive basis. The Company is currently evaluating the impact that the adoption of this standard will have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3"/>
                <w:szCs w:val="13"/>
                <w:color w:val="auto"/>
              </w:rPr>
            </w:pPr>
          </w:p>
        </w:tc>
        <w:tc>
          <w:tcPr>
            <w:tcW w:w="12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$2.9 million and $3.4 million for the three months ended June 30, 2024 and 2025, and $5.5 million and $6.8 million for the six months ended June 30, 2024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Operating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supplemental cash flow information related to our operating leases: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operating cash flows for lease arrangements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20"/>
                <w:szCs w:val="20"/>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Credit Facilities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outstanding balance under the Company’s revolving line of credit facility was $0 as of December 31, 2024 and June 30, 2025 and the amount available to draw to was $50.0 million as of December 31, 2024 and June 30, 2025. The revolving line of credit has a maturity date in March 2027 and will bear interest at a variable base rate plus an applicable margin ranging from 0.75% to 2.50%. The commitment fees on the unused portion range from 0.20% to 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117"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credit agreement contains various financial, affirmative and negative covenants. As of June 30, 2025, the Company was in compliance with all covenants outlined in the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Convertible Preferred Stock</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May 2020, 15,750,477 shares of Series A Preferred Stock were issued at an issuance price and liquidation preference of $3.32 per share, subject to an accruing preferred dividend of 17.5% per annum. Proceeds, net of issuance costs, totaled $52.1 million.</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September 2021, the Company issued 13,215,614 shares of Series B Preferred Stock at $17.01 per share (the “Series B Original Issue Price”). Proceeds, net of issuance costs, totaled $218.5 million.</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Series B Preferred Stock financing, the Company amended and restated its Certificate of Incorporation (“Certificate”). As a result of the modification of the Certificate, the dividend rights of the Series A Preferred Stock were terminated and the issue price was modified from $3.32 per share to $7.44 per share (the “Series A Adjusted Issue Price”). The Company accounted for these changes as a modification of the existing Series A Preferred Stock given the nature of the amendment and designs of the parties to have a value for value exchange of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and Series B Preferred stock (collectively, the “convertible preferred stock”) outstanding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Issuance price per</w:t>
            </w:r>
          </w:p>
        </w:tc>
        <w:tc>
          <w:tcPr>
            <w:tcW w:w="15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120" w:type="dxa"/>
            <w:vAlign w:val="bottom"/>
          </w:tcPr>
          <w:p>
            <w:pPr>
              <w:spacing w:after="0"/>
              <w:rPr>
                <w:sz w:val="11"/>
                <w:szCs w:val="11"/>
                <w:color w:val="auto"/>
              </w:rPr>
            </w:pPr>
          </w:p>
        </w:tc>
        <w:tc>
          <w:tcPr>
            <w:tcW w:w="13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52,073</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218,528</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4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Issuance price per</w:t>
            </w:r>
          </w:p>
        </w:tc>
        <w:tc>
          <w:tcPr>
            <w:tcW w:w="15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120" w:type="dxa"/>
            <w:vAlign w:val="bottom"/>
          </w:tcPr>
          <w:p>
            <w:pPr>
              <w:spacing w:after="0"/>
              <w:rPr>
                <w:sz w:val="11"/>
                <w:szCs w:val="11"/>
                <w:color w:val="auto"/>
              </w:rPr>
            </w:pPr>
          </w:p>
        </w:tc>
        <w:tc>
          <w:tcPr>
            <w:tcW w:w="13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52,073</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218,528</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issuance of the Series B Preferred Stock, the Series A and Series B Preferred Stock contained the following terms: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holders of Series B Preferred Stock are entitled to cumulative dividends at a rate of 8.0% of the Series B Original Issue Price per share, if and when declared by the Company’s board of directors. The holders of Series B Preferred Stock are entitled to receive dividends on a pari passu basis, prior to and in preference to any dividends to common stockholders. The Series B Preferred Stock had $58.4 million and $67.4 million of cumulative undeclared dividends as of December 31, 2024 and June 30, 2025, respectively.</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amended Certificate dated September 7, 2021, the terms for the Series A Preferred Stock were amended, and the right to receive cumulative dividends was terminated. Accordingly, the Series A Preferred Stock had no cumulative undeclared dividends as of December 31, 2024 and June 30, 2025. The holders of Series A Preferred Stock are entitled to receive any dividends on a pari passu basis to any dividends to common stockholders as may be declared by the board of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during the three and six months ended June 30, 2024 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17"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of (i) any liquidation, dissolution or winding up of the Company, (ii) the consummation of certain mergers or consolidations, (iii) certain change of control transactions (each, a “Deemed Liquidation Event”), the holders of Series A and Series B Preferred Stock are entitled to receive a liquidation preference, on a pari passu basis, and prior and in preference to the holders of Founding Voting Preferred Stock, Founding Non-Voting Preferred Stock and common stock.</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receive an amount equal to (i) (a) for the holders of the Series A Preferred Stock, an amount per share equal the Series A Adjusted Issue Price plus dividends declared but unpaid thereon, (b) for the holders of the Series B Preferred Stock, an amount per share equal to the Series B Original Issue Price per share, plus any dividends accrued but unpaid, whether or not declared, together with any other dividends declared but unpaid or (ii) such amount per share as would have been payable had all shares of Series A and Series B Preferred Stock been converted into common stock immediately prior a Deemed Liquidation Event. If the assets available for distribution are insufficient to pay such amounts, then the available assets will be distributed ratably among the holders of Series A and Series B Preferred Stock in proportion to the full amount each holder is otherwise entitled to receive.</w:t>
      </w:r>
    </w:p>
    <w:p>
      <w:pPr>
        <w:spacing w:after="0" w:line="13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After payment to the holders of the Series A and Series B Preferred Stock, the remaining assets of the Company legally available for distribution shall be distributed among the holders of the Founding Voting Preferred Stock, Founding Non-Voting Preferred Stock and common stock in an amount per share equal to its full preferential amount plus all declared and unpaid 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each share of Series A and Series B Preferred Stock are entitled to one vote per each share of common stock on an as-converted basis.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holders of Series A Preferred Stock, voting as a separate class, have the right to elect one director. The holders of Series B Preferred Stock, voting as a separate class, have the right to elect two directors. The holders of record of the shares of Founder Voting Preferred Stock, exclusively and as a separate class, have the right to elect nine directors. The holders of record of the shares of common stock and of any other class or series of voting stock (including the Series A Preferred Stock, Series B Preferred Stock and Founder Voting Preferred Stock), exclusively and voting together as a single class, shall be entitled to elect the balance of the total number of directors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holders of each share of convertible preferred stock have the option to convert each share of preferred stock at any time into a number of shares of common stock determined by dividing, for the Series A Preferred Stock, the Series A Adjusted Issue Price by the Series A Preferred Stock conversion price, and in the case of Series B Preferred Stock, the Series B Original Issue Price by the Series B Preferred Stock conversion price in effect at the time of conversion. The Series A Adjusted Issue Price and the Series B Original Issue Price are subject to adjustments for certain dilutive issuances, splits, combinations and other recapitalizations or reorganizations.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Series B Preferred Stock have a special conversion ratio in connection with closing an initial public offering, direct listing or special purpose acquisition company transaction (any such transaction, an “Offering”). Each share of Series B Preferred Stock shall be convertible, at the option of the holder, in connection with an Offering, into a number of shares of common stock determined by dividing the Series B Original Issue Price by the lesser of (a) the Series B Preferred Stock conversion price then in effect and (b) the price per share of the Company’s common stock sold in any such Offering (before discounts and commissions), multiplied by a percentage determined as the difference between 100% and the computed discount rate. As of January 1, 2025, the discount rate equaled 45% and increases 5% every six months thereafter, until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20"/>
          </w:cols>
          <w:pgMar w:left="320" w:top="117" w:right="3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7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Series A and Series B Preferred Stock is contingently redeemable upon a Deemed Liquidation Events or sale of substantially all the assets of the Company. The convertible preferred stock is not mandatorily redeemable, but since a Deemed Liquidation Event would constitute a redemption event outside of the Company’s control, all shares of the convertible preferred stock have been presented in mezzanine equity on the consolidated balance sheets.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event of a Deemed Liquidation Event, the Company is required to redeem shares of Series A and Series B Preferred Stock at the Series A Adjusted Issue Price and Series B Original Issue Price, respectively, (as adjusted for any dilutive issuances, splits, combinations and other recapitalizations or reorganizations). The carrying values of convertible preferred stock have not been adjusted to their liquidation preferences as these events have not occurred as of June 30, 2025. Carrying values will be adjusted to their liquidation preferences, inclusive of the Series B Preferred Stock preferred return, if and when it becomes probable that such events will occur.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one class of common stock with a par value of $0.001. Each share of common stock is entitled to one vote. Holders of common stock are entitled to receive any dividends as may be declared by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June 30, 2025, 940,855 shares of Founder Voting Preferred Stock, $0.001 par value, were issued and outstanding and 85,851,519 shares of Founder Non-Voting Preferred Stock, $0.001 par value, were issued and outstanding (collectively, the “preferred stock”). Holders of the preferred stock are entitled to receive any dividends as may be declared by the board of directors on an as-converted basis with common stockholders. Each share of preferred stock has liquidation preferences similar to those of one share of common stock. Each holder of outstanding shares of Founder Voting Preferred Stock shall be entitled to 1,000 votes for each share of Founder Voting Preferred Stock held, voting together with holders of Series A and Series B Preferred Stock and common stock as a single class. The holders of record of the shares of Founder Voting Preferred Stock, exclusively and as a separate class, shall be entitled to elect nine directors of the Corporation. Each single share of Founder Voting Preferred Stock shall be convertible, at the option of the holder thereof, at any time and from time to time and without the payment of additional consideration by the holder thereof, into one fully paid and non-assessable share of common stock or Founder Non-Voting Preferred Stock. Each share of Founder Non-Voting Preferred Stock shall be convertible, at the option of the holder thereof, at any time and from time to time and without the payment of additional consideration by the holder thereof, into one fully paid and non-assessable share of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Authorized, Issued and Reserved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on an as-converted basis for future issuance: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02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under the 2019 Equity Incentive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Authorized but not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common shares authorized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17"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and 2019 Stock Plans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September 2018, the board of directors adopted the 2018 Equity Incentive Plan (the “2018 Plan”). Under the 2018 Plan, the board of directors may grant stock options, restricted stock, RSUs, stock appreciation rights or a dividend equivalent to eligible employees, officers, non-employee directors and consultants. On January 28, 2019, the stockholders of Pattern Inc. contributed all shares of Pattern Inc. to Pattern Group Inc. in exchange for shares in Pattern Group Inc. As a result of this contribution and exchange, all outstanding RSUs were transferred to Pattern Group Inc. and the 2018 Plan was terminated. In January 2019, Pattern Group Inc. adopted the 2019 Equity Incentive Plan (as amended, the “2019 Plan”). Common stock purchased under the 2019 Plan is subject to certain restrictions, including the right of first refusal by the Company for sale or transfer of shares to outside parties.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grants RSUs to its employees, directors and advisors under the 2019 Plan. These RSUs include both service-based and performance-based vesting conditions. The service-based vesting condition for these awards is generally satisfied by rendering continuous service, generally for 4 years, during which time a quarter of the award vest annually. The performance-based vesting condition is satisfied upon the sale of the Company’s common stock upon the consummation of a firm commitment underwritten initial public offering pursuant to an effective registration statement under the Securities Act or a sale event, which constitutes a change in the ownership or effective control of the Company or in the ownership of a substantial portion of the assets (“Liquidity Event”).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stock-based compensation expense in connection with RSUs based on the fair market value of its common stock on the grant date using the accelerated attribution method when it is probable the performance-based vesting condition will be achieved. As of June 30, 2025, no stock-based compensation expense was recognized for the RSUs as a Liquidity Event had not occurred. The total unrecognized stock-based compensation expense related to these awards was $127.4 million as of June 30, 2025. If the performance-based vesting condition had been satisfied on June 30, 2025, the Company would have recognized stock-based compensation expense of $74.1 million, and unrecognized stock-based compensation expense of $53.3 million would have been recognized over a weighted-average remaining requisite service period of 1.47 years.</w:t>
      </w:r>
    </w:p>
    <w:p>
      <w:pPr>
        <w:sectPr>
          <w:pgSz w:w="11900" w:h="16838" w:orient="portrait"/>
          <w:cols w:equalWidth="0" w:num="1">
            <w:col w:w="11240"/>
          </w:cols>
          <w:pgMar w:left="320" w:top="117" w:right="3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(excluding the executive incentive agreement described below):</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vMerge w:val="restart"/>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160" w:type="dxa"/>
            <w:vAlign w:val="bottom"/>
          </w:tcPr>
          <w:p>
            <w:pPr>
              <w:spacing w:after="0"/>
              <w:rPr>
                <w:sz w:val="13"/>
                <w:szCs w:val="13"/>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4"/>
        </w:trPr>
        <w:tc>
          <w:tcPr>
            <w:tcW w:w="1060" w:type="dxa"/>
            <w:vAlign w:val="bottom"/>
            <w:vMerge w:val="continue"/>
          </w:tcPr>
          <w:p>
            <w:pPr>
              <w:spacing w:after="0"/>
              <w:rPr>
                <w:sz w:val="16"/>
                <w:szCs w:val="16"/>
                <w:color w:val="auto"/>
              </w:rPr>
            </w:pPr>
          </w:p>
        </w:tc>
        <w:tc>
          <w:tcPr>
            <w:tcW w:w="15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5"/>
        </w:trPr>
        <w:tc>
          <w:tcPr>
            <w:tcW w:w="10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15,149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4"/>
        </w:trPr>
        <w:tc>
          <w:tcPr>
            <w:tcW w:w="10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1,292</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bl>
    <w:p>
      <w:pPr>
        <w:ind w:left="2240" w:hanging="1697"/>
        <w:spacing w:after="0"/>
        <w:tabs>
          <w:tab w:leader="none" w:pos="2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14605</wp:posOffset>
            </wp:positionV>
            <wp:extent cx="994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15,939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445"/>
        </w:trPr>
        <w:tc>
          <w:tcPr>
            <w:tcW w:w="106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160" w:type="dxa"/>
            <w:vAlign w:val="bottom"/>
          </w:tcPr>
          <w:p>
            <w:pPr>
              <w:spacing w:after="0"/>
              <w:rPr>
                <w:sz w:val="24"/>
                <w:szCs w:val="24"/>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1060" w:type="dxa"/>
            <w:vAlign w:val="bottom"/>
            <w:vMerge w:val="continue"/>
          </w:tcPr>
          <w:p>
            <w:pPr>
              <w:spacing w:after="0"/>
              <w:rPr>
                <w:sz w:val="17"/>
                <w:szCs w:val="17"/>
                <w:color w:val="auto"/>
              </w:rPr>
            </w:pPr>
          </w:p>
        </w:tc>
        <w:tc>
          <w:tcPr>
            <w:tcW w:w="15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5"/>
        </w:trPr>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17,589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4"/>
        </w:trPr>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2,462</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-728345</wp:posOffset>
            </wp:positionV>
            <wp:extent cx="9944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-702310</wp:posOffset>
            </wp:positionV>
            <wp:extent cx="9944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ind w:left="2240" w:hanging="1697"/>
        <w:spacing w:after="0"/>
        <w:tabs>
          <w:tab w:leader="none" w:pos="2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14605</wp:posOffset>
            </wp:positionV>
            <wp:extent cx="9944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400"/>
        <w:spacing w:after="0"/>
        <w:tabs>
          <w:tab w:leader="none" w:pos="1060" w:val="left"/>
          <w:tab w:leader="none" w:pos="2220" w:val="left"/>
        </w:tabs>
        <w:rPr>
          <w:sz w:val="20"/>
          <w:szCs w:val="20"/>
          <w:color w:val="auto"/>
        </w:rPr>
      </w:pPr>
      <w:r>
        <w:rPr>
          <w:rFonts w:ascii="Times New Roman" w:cs="Times New Roman" w:eastAsia="Times New Roman" w:hAnsi="Times New Roman"/>
          <w:sz w:val="18"/>
          <w:szCs w:val="18"/>
          <w:color w:val="auto"/>
        </w:rPr>
        <w:t>19,898</w:t>
        <w:tab/>
        <w:t>$</w:t>
      </w:r>
      <w:r>
        <w:rPr>
          <w:sz w:val="20"/>
          <w:szCs w:val="20"/>
          <w:color w:val="auto"/>
        </w:rPr>
        <w:tab/>
      </w:r>
      <w:r>
        <w:rPr>
          <w:rFonts w:ascii="Times New Roman" w:cs="Times New Roman" w:eastAsia="Times New Roman" w:hAnsi="Times New Roman"/>
          <w:sz w:val="17"/>
          <w:szCs w:val="17"/>
          <w:color w:val="auto"/>
        </w:rPr>
        <w:t>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17145</wp:posOffset>
            </wp:positionV>
            <wp:extent cx="994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43180</wp:posOffset>
            </wp:positionV>
            <wp:extent cx="9944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220" w:space="400"/>
            <w:col w:w="2620"/>
          </w:cols>
          <w:pgMar w:left="320" w:top="117"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Agreement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February 2025, the board of directors approved a stand-alone restricted stock unit agreement for the Company’s Chief Executive Officer (“CEO”). This agreement granted the CEO 8,813,161 RSUs subject to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17" w:right="33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performance and market conditions. As of June 30, 2025, no stock-based compensation expense was recognized for the stand-alone RSUs as the performance and market conditions had not occurred. The total unrecognized stock-based compensation expense related to these awards was $43.5 million as of June 30, 2025. If the performance-based vesting condition had been satisfied on June 30, 2025, the Company would have recognized stock-based compensation expense of $25.9 million, and unrecognized stock-based compensation expense of $17.6 million would have been recognized over a weighted-average remaining requisite service period of 4.46 years. In August 2025, the stand-alone restricted stock unit agreement for the Company’s CEO was cancelled. No expense was recognized upon cancellation of the award in August 2025.</w:t>
      </w:r>
    </w:p>
    <w:p>
      <w:pPr>
        <w:sectPr>
          <w:pgSz w:w="11900" w:h="16838" w:orient="portrait"/>
          <w:cols w:equalWidth="0" w:num="1">
            <w:col w:w="11240"/>
          </w:cols>
          <w:pgMar w:left="320" w:top="117" w:right="3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executive incentive agreement:</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Provision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4"/>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6" w:lineRule="exact"/>
        <w:rPr>
          <w:sz w:val="20"/>
          <w:szCs w:val="20"/>
          <w:color w:val="auto"/>
        </w:rPr>
      </w:pPr>
    </w:p>
    <w:p>
      <w:pPr>
        <w:sectPr>
          <w:pgSz w:w="11900" w:h="16838" w:orient="portrait"/>
          <w:cols w:equalWidth="0" w:num="2">
            <w:col w:w="7300" w:space="720"/>
            <w:col w:w="3220"/>
          </w:cols>
          <w:pgMar w:left="320" w:top="117" w:right="339" w:bottom="1440" w:gutter="0" w:footer="0" w:header="0"/>
          <w:type w:val="continuous"/>
        </w:sect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calculated the year-to-date income tax provision by applying the estimated annual effective tax rate to the year-to-date pre-tax income for each applicable jurisdiction and adjusted for discrete tax items in the period. The Company’s income tax expense was $6.1 million and $8.1 million for the three months ended June 30, 2024 and 2025, and $12.2 million and $16.0 million for the six months ended June 30, 2024 and 2025,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did not have any future payments under non-cancelable purchase obligations.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Loss contingencies are recorded when it is probable that a liability has been incurred and the amount of the loss can be reasonably estimated. Material contingencies are disclosed when it is believed a loss is not probable but reasonably possible. Accounting for contingencies requires the use of judgment related to both the likelihood of a loss and the estimate of the amount or range of loss. The Company is not presently a party to any legal proceedings, that if determined adversely to the Company, would individually or in the aggregate have a materially adverse effect on the business, results of operations, financial condition 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brand partners, lessors, investors, directors, officers, employees and other parties with respect to certain matters. Indemnification may include losses from the breach of such agreements, services the Company provides or third-party intellectual property infringement claims. These indemnifications may survive termination of the underlying agreement and the maximum potential amount of future indemnification payments may not be subject to a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17" w:right="339" w:bottom="1440" w:gutter="0" w:footer="0" w:header="0"/>
          <w:type w:val="continuous"/>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Related-Party Lease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iServe Investments, LLC</w:t>
      </w:r>
    </w:p>
    <w:p>
      <w:pPr>
        <w:spacing w:after="0" w:line="175" w:lineRule="exact"/>
        <w:rPr>
          <w:sz w:val="20"/>
          <w:szCs w:val="20"/>
          <w:color w:val="auto"/>
        </w:rPr>
      </w:pPr>
    </w:p>
    <w:p>
      <w:pPr>
        <w:ind w:right="860"/>
        <w:spacing w:after="0" w:line="312" w:lineRule="auto"/>
        <w:rPr>
          <w:sz w:val="20"/>
          <w:szCs w:val="20"/>
          <w:color w:val="auto"/>
        </w:rPr>
      </w:pPr>
      <w:r>
        <w:rPr>
          <w:rFonts w:ascii="Times New Roman" w:cs="Times New Roman" w:eastAsia="Times New Roman" w:hAnsi="Times New Roman"/>
          <w:sz w:val="17"/>
          <w:szCs w:val="17"/>
          <w:color w:val="auto"/>
        </w:rPr>
        <w:t>The Company leases certain office and warehouse space from a related party, iServe Investments, LLC, which is wholly owned by two majority stockholders. Total lease cost and related expenses for the lease was not material for the three and six months ended June 30, 2024 and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manages its business on a consolidated basis and operates as a single operating and reportable segment. The Company primarily derives its revenue in the United States by selling products to customers via online marketplaces.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who reviews financial information on a consolidated basis. The CODM uses consolidated net income to assess financial performance and allocate resources. Net income is used by the CODM to make key operating decisions. The CODM does not review assets in evaluating the results of the reportable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and reportable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1,138,556</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645,933</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Fulfillment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167,884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Marketplace commissions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162,705</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Sales, general and administrative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17" w:lineRule="exact"/>
        <w:rPr>
          <w:sz w:val="20"/>
          <w:szCs w:val="20"/>
          <w:color w:val="auto"/>
        </w:rPr>
      </w:pPr>
    </w:p>
    <w:p>
      <w:pPr>
        <w:ind w:left="320" w:hanging="312"/>
        <w:spacing w:after="0"/>
        <w:tabs>
          <w:tab w:leader="none" w:pos="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Fulfillment costs include costs incurred from third-party fulfillment centers and cost to operate and staff the Company’s fulfillment centers.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Marketplace Commissions includes referral fees charged by the various online marketplaces.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general and administrative relate to employee headcount and other selling and general administrative costs.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Technology represents items included in research in development within the Consolidated Statement of Operations and the amortization of capitalized internally developed software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2—Summary of Significant Accounting Policies for additional information about revenue disaggregation.</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long-lived tangible assets, as well as the Company's operating lease right-of-use assets recognized on the Condensed Consolidated Balance Sheets were located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3"/>
                <w:szCs w:val="13"/>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55,050</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17"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Pattern Group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75" w:lineRule="exact"/>
        <w:rPr>
          <w:sz w:val="20"/>
          <w:szCs w:val="20"/>
          <w:color w:val="auto"/>
        </w:rPr>
      </w:pPr>
    </w:p>
    <w:p>
      <w:pPr>
        <w:jc w:val="both"/>
        <w:ind w:right="260"/>
        <w:spacing w:after="0" w:line="277" w:lineRule="auto"/>
        <w:rPr>
          <w:sz w:val="20"/>
          <w:szCs w:val="20"/>
          <w:color w:val="auto"/>
        </w:rPr>
      </w:pPr>
      <w:r>
        <w:rPr>
          <w:rFonts w:ascii="Times New Roman" w:cs="Times New Roman" w:eastAsia="Times New Roman" w:hAnsi="Times New Roman"/>
          <w:sz w:val="17"/>
          <w:szCs w:val="17"/>
          <w:color w:val="auto"/>
        </w:rPr>
        <w:t>On July 4, 2025, the One Big Beautiful Bill Act (the “BBB Act”) was signed into law. The BBB Act includes significant changes to the U.S. federal tax code that are expected to have broad implications for businesses. The Company is currently evaluating the full impact of the legislation on its business, operations, and financial statements. At this time, due to the complexity of the legislation and the potential need for additional regulatory guidance, the Company is unable to reasonably estimate the quantitative impact, if any, on its consolidated financial position, results of operations, or cash flows. The Company will continue to monitor developments and expects to provide further updates in future filings once its assessment is complete.</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2025, the Company, following approval by its board of directors, amended its Certificate. As a result of the amended Certificate, the conversion terms of the Founder Voting Preferred Stock and Founder Non-Voting Preferred Stock were revised. Under the revised terms, if the Company completes an IPO prior to December 31, 2025, the Founder Voting Preferred Stock and Founder Non-Voting Preferred Stock will convert into Series B common stock or Series A common stock, as applicable, at a ratio that limits the dilution impact on the holders of such stock to 3.33%, as a result of the special conversion ratio applicable to the Series B Preferred Stock in connection with an IPO, provided, no adjustment will be made for any incremental dilution that exceeds 9.00% (see Note 6—Convertible Preferred Stock for additional information on the Series B Preferred Stock conversion rights). If an IPO is not completed by December 31, 2025, the Founder Voting Preferred Stock and Founder Non-Voting Preferred Stock will revert to its original 1:1 conversion ratio into Series B common stock or Series A common stock, as applicable (see Note 7—Stockholders’ Equity for more information on the original conversion rights). The Company is currently evaluating the accounting impact of this amendment. The financial impact of the amendment has not been finalized as of the date the financial statements were issued.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have been evaluated through August 22, 2025,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00"/>
          </w:cols>
          <w:pgMar w:left="320" w:top="117" w:right="3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21,428,572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744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Pattern Group Inc.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Series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153035</wp:posOffset>
            </wp:positionV>
            <wp:extent cx="1517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377"/>
        </w:trPr>
        <w:tc>
          <w:tcPr>
            <w:tcW w:w="1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80" w:type="dxa"/>
            <w:vAlign w:val="bottom"/>
          </w:tcPr>
          <w:p>
            <w:pPr>
              <w:ind w:left="560"/>
              <w:spacing w:after="0"/>
              <w:rPr>
                <w:sz w:val="20"/>
                <w:szCs w:val="20"/>
                <w:color w:val="auto"/>
              </w:rPr>
            </w:pPr>
            <w:r>
              <w:rPr>
                <w:rFonts w:ascii="Times New Roman" w:cs="Times New Roman" w:eastAsia="Times New Roman" w:hAnsi="Times New Roman"/>
                <w:sz w:val="29"/>
                <w:szCs w:val="29"/>
                <w:color w:val="auto"/>
              </w:rPr>
              <w:t>Prospectus</w:t>
            </w: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29"/>
                <w:szCs w:val="29"/>
                <w:b w:val="1"/>
                <w:bCs w:val="1"/>
                <w:color w:val="auto"/>
              </w:rPr>
              <w:t>Goldman Sachs &amp; Co. LLC*</w:t>
            </w:r>
          </w:p>
        </w:tc>
        <w:tc>
          <w:tcPr>
            <w:tcW w:w="238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9"/>
                <w:szCs w:val="29"/>
                <w:b w:val="1"/>
                <w:bCs w:val="1"/>
                <w:color w:val="auto"/>
                <w:w w:val="96"/>
              </w:rPr>
              <w:t>J.P. Morgan*</w:t>
            </w:r>
          </w:p>
        </w:tc>
        <w:tc>
          <w:tcPr>
            <w:tcW w:w="0" w:type="dxa"/>
            <w:vAlign w:val="bottom"/>
          </w:tcPr>
          <w:p>
            <w:pPr>
              <w:spacing w:after="0"/>
              <w:rPr>
                <w:sz w:val="1"/>
                <w:szCs w:val="1"/>
                <w:color w:val="auto"/>
              </w:rPr>
            </w:pPr>
          </w:p>
        </w:tc>
      </w:tr>
      <w:tr>
        <w:trPr>
          <w:trHeight w:val="689"/>
        </w:trPr>
        <w:tc>
          <w:tcPr>
            <w:tcW w:w="442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3140" w:type="dxa"/>
            <w:vAlign w:val="bottom"/>
          </w:tcPr>
          <w:p>
            <w:pPr>
              <w:ind w:left="920"/>
              <w:spacing w:after="0"/>
              <w:rPr>
                <w:sz w:val="20"/>
                <w:szCs w:val="20"/>
                <w:color w:val="auto"/>
              </w:rPr>
            </w:pPr>
            <w:r>
              <w:rPr>
                <w:rFonts w:ascii="Times New Roman" w:cs="Times New Roman" w:eastAsia="Times New Roman" w:hAnsi="Times New Roman"/>
                <w:sz w:val="22"/>
                <w:szCs w:val="22"/>
                <w:b w:val="1"/>
                <w:bCs w:val="1"/>
                <w:color w:val="auto"/>
              </w:rPr>
              <w:t>Evercore ISI</w:t>
            </w:r>
          </w:p>
        </w:tc>
        <w:tc>
          <w:tcPr>
            <w:tcW w:w="2380" w:type="dxa"/>
            <w:vAlign w:val="bottom"/>
          </w:tcPr>
          <w:p>
            <w:pPr>
              <w:spacing w:after="0"/>
              <w:rPr>
                <w:sz w:val="24"/>
                <w:szCs w:val="24"/>
                <w:color w:val="auto"/>
              </w:rPr>
            </w:pPr>
          </w:p>
        </w:tc>
        <w:tc>
          <w:tcPr>
            <w:tcW w:w="2220" w:type="dxa"/>
            <w:vAlign w:val="bottom"/>
          </w:tcPr>
          <w:p>
            <w:pPr>
              <w:ind w:left="1220"/>
              <w:spacing w:after="0"/>
              <w:rPr>
                <w:sz w:val="20"/>
                <w:szCs w:val="20"/>
                <w:color w:val="auto"/>
              </w:rPr>
            </w:pPr>
            <w:r>
              <w:rPr>
                <w:rFonts w:ascii="Times New Roman" w:cs="Times New Roman" w:eastAsia="Times New Roman" w:hAnsi="Times New Roman"/>
                <w:sz w:val="22"/>
                <w:szCs w:val="22"/>
                <w:b w:val="1"/>
                <w:bCs w:val="1"/>
                <w:color w:val="auto"/>
              </w:rPr>
              <w:t>Jefferies</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Baird</w:t>
            </w:r>
          </w:p>
        </w:tc>
        <w:tc>
          <w:tcPr>
            <w:tcW w:w="31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BMO Capital Markets</w:t>
            </w:r>
          </w:p>
        </w:tc>
        <w:tc>
          <w:tcPr>
            <w:tcW w:w="2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KeyBanc Capital Markets</w:t>
            </w:r>
          </w:p>
        </w:tc>
        <w:tc>
          <w:tcPr>
            <w:tcW w:w="2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Needham &amp; Company</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6"/>
              </w:rPr>
              <w:t>Stifel</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William Blair</w:t>
            </w:r>
          </w:p>
        </w:tc>
        <w:tc>
          <w:tcPr>
            <w:tcW w:w="0" w:type="dxa"/>
            <w:vAlign w:val="bottom"/>
          </w:tcPr>
          <w:p>
            <w:pPr>
              <w:spacing w:after="0"/>
              <w:rPr>
                <w:sz w:val="1"/>
                <w:szCs w:val="1"/>
                <w:color w:val="auto"/>
              </w:rPr>
            </w:pPr>
          </w:p>
        </w:tc>
      </w:tr>
      <w:tr>
        <w:trPr>
          <w:trHeight w:val="307"/>
        </w:trPr>
        <w:tc>
          <w:tcPr>
            <w:tcW w:w="1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alphabetical order.</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b w:val="1"/>
          <w:bCs w:val="1"/>
          <w:color w:val="auto"/>
        </w:rPr>
        <w:t>Through and including October 13, 2025 (the 25</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bullet"/>
      <w:start w:val="1"/>
    </w:lvl>
  </w:abstractNum>
  <w:abstractNum w:abstractNumId="3">
    <w:nsid w:val="6B94764"/>
    <w:multiLevelType w:val="hybridMultilevel"/>
    <w:lvl w:ilvl="0">
      <w:lvlJc w:val="left"/>
      <w:lvlText w:val="2"/>
      <w:numFmt w:val="bullet"/>
      <w:start w:val="1"/>
    </w:lvl>
  </w:abstractNum>
  <w:abstractNum w:abstractNumId="4">
    <w:nsid w:val="42C296BD"/>
    <w:multiLevelType w:val="hybridMultilevel"/>
    <w:lvl w:ilvl="0">
      <w:lvlJc w:val="left"/>
      <w:lvlText w:val="3"/>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4"/>
      <w:numFmt w:val="bullet"/>
      <w:start w:val="1"/>
    </w:lvl>
  </w:abstractNum>
  <w:abstractNum w:abstractNumId="7">
    <w:nsid w:val="661E3F1E"/>
    <w:multiLevelType w:val="hybridMultilevel"/>
    <w:lvl w:ilvl="0">
      <w:lvlJc w:val="left"/>
      <w:lvlText w:val="5"/>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6"/>
      <w:numFmt w:val="bullet"/>
      <w:start w:val="1"/>
    </w:lvl>
  </w:abstractNum>
  <w:abstractNum w:abstractNumId="10">
    <w:nsid w:val="7BD3EE7B"/>
    <w:multiLevelType w:val="hybridMultilevel"/>
    <w:lvl w:ilvl="0">
      <w:lvlJc w:val="left"/>
      <w:lvlText w:val="7"/>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8"/>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9"/>
      <w:numFmt w:val="bullet"/>
      <w:start w:val="1"/>
    </w:lvl>
  </w:abstractNum>
  <w:abstractNum w:abstractNumId="16">
    <w:nsid w:val="A0382C5"/>
    <w:multiLevelType w:val="hybridMultilevel"/>
    <w:lvl w:ilvl="0">
      <w:lvlJc w:val="left"/>
      <w:lvlText w:val="%1"/>
      <w:numFmt w:val="decimal"/>
      <w:start w:val="10"/>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1)"/>
      <w:numFmt w:val="decimal"/>
      <w:start w:val="1"/>
    </w:lvl>
  </w:abstractNum>
  <w:abstractNum w:abstractNumId="23">
    <w:nsid w:val="6A5EE64"/>
    <w:multiLevelType w:val="hybridMultilevel"/>
    <w:lvl w:ilvl="0">
      <w:lvlJc w:val="left"/>
      <w:lvlText w:val="(%1)"/>
      <w:numFmt w:val="decimal"/>
      <w:start w:val="1"/>
    </w:lvl>
  </w:abstractNum>
  <w:abstractNum w:abstractNumId="24">
    <w:nsid w:val="14330624"/>
    <w:multiLevelType w:val="hybridMultilevel"/>
    <w:lvl w:ilvl="0">
      <w:lvlJc w:val="left"/>
      <w:lvlText w:val="(%1)"/>
      <w:numFmt w:val="decimal"/>
      <w:start w:val="3"/>
    </w:lvl>
  </w:abstractNum>
  <w:abstractNum w:abstractNumId="25">
    <w:nsid w:val="7FFFCA11"/>
    <w:multiLevelType w:val="hybridMultilevel"/>
    <w:lvl w:ilvl="0">
      <w:lvlJc w:val="left"/>
      <w:lvlText w:val="(%1)"/>
      <w:numFmt w:val="decimal"/>
      <w:start w:val="1"/>
    </w:lvl>
  </w:abstractNum>
  <w:abstractNum w:abstractNumId="26">
    <w:nsid w:val="1A27709E"/>
    <w:multiLevelType w:val="hybridMultilevel"/>
    <w:lvl w:ilvl="0">
      <w:lvlJc w:val="left"/>
      <w:lvlText w:val="(%1)"/>
      <w:numFmt w:val="decimal"/>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1"/>
      <w:numFmt w:val="decimal"/>
      <w:start w:val="1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1)"/>
      <w:numFmt w:val="lowerLetter"/>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1)"/>
      <w:numFmt w:val="decimal"/>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1"/>
      <w:numFmt w:val="decimal"/>
      <w:start w:val="12"/>
    </w:lvl>
  </w:abstractNum>
  <w:abstractNum w:abstractNumId="57">
    <w:nsid w:val="6AA78F7F"/>
    <w:multiLevelType w:val="hybridMultilevel"/>
    <w:lvl w:ilvl="0">
      <w:lvlJc w:val="left"/>
      <w:lvlText w:val="%1"/>
      <w:numFmt w:val="decimal"/>
      <w:start w:val="13"/>
    </w:lvl>
  </w:abstractNum>
  <w:abstractNum w:abstractNumId="58">
    <w:nsid w:val="7672BD23"/>
    <w:multiLevelType w:val="hybridMultilevel"/>
    <w:lvl w:ilvl="0">
      <w:lvlJc w:val="left"/>
      <w:lvlText w:val="(%1)"/>
      <w:numFmt w:val="decimal"/>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1"/>
      <w:numFmt w:val="decimal"/>
      <w:start w:val="14"/>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1"/>
      <w:numFmt w:val="decimal"/>
      <w:start w:val="17"/>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1"/>
      <w:numFmt w:val="decimal"/>
      <w:start w:val="19"/>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1"/>
      <w:numFmt w:val="decimal"/>
      <w:start w:val="24"/>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1"/>
      <w:numFmt w:val="decimal"/>
      <w:start w:val="26"/>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1"/>
      <w:numFmt w:val="decimal"/>
      <w:start w:val="27"/>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1"/>
      <w:numFmt w:val="decimal"/>
      <w:start w:val="28"/>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1"/>
      <w:numFmt w:val="decimal"/>
      <w:start w:val="30"/>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1)"/>
      <w:numFmt w:val="decimal"/>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1)"/>
      <w:numFmt w:val="decimal"/>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1)"/>
      <w:numFmt w:val="decimal"/>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1)"/>
      <w:numFmt w:val="decimal"/>
      <w:start w:val="1"/>
    </w:lvl>
  </w:abstractNum>
  <w:abstractNum w:abstractNumId="108">
    <w:nsid w:val="53B0A9E"/>
    <w:multiLevelType w:val="hybridMultilevel"/>
    <w:lvl w:ilvl="0">
      <w:lvlJc w:val="left"/>
      <w:lvlText w:val="(%1)"/>
      <w:numFmt w:val="decimal"/>
      <w:start w:val="2"/>
    </w:lvl>
  </w:abstractNum>
  <w:abstractNum w:abstractNumId="109">
    <w:nsid w:val="34FD6B4F"/>
    <w:multiLevelType w:val="hybridMultilevel"/>
    <w:lvl w:ilvl="0">
      <w:lvlJc w:val="left"/>
      <w:lvlText w:val="(%1)"/>
      <w:numFmt w:val="decimal"/>
      <w:start w:val="1"/>
    </w:lvl>
  </w:abstractNum>
  <w:abstractNum w:abstractNumId="110">
    <w:nsid w:val="5915FF32"/>
    <w:multiLevelType w:val="hybridMultilevel"/>
    <w:lvl w:ilvl="0">
      <w:lvlJc w:val="left"/>
      <w:lvlText w:val="(%1)"/>
      <w:numFmt w:val="decimal"/>
      <w:start w:val="1"/>
    </w:lvl>
  </w:abstractNum>
  <w:abstractNum w:abstractNumId="111">
    <w:nsid w:val="56438D15"/>
    <w:multiLevelType w:val="hybridMultilevel"/>
    <w:lvl w:ilvl="0">
      <w:lvlJc w:val="left"/>
      <w:lvlText w:val="(%1)"/>
      <w:numFmt w:val="upperLetter"/>
      <w:start w:val="1"/>
    </w:lvl>
  </w:abstractNum>
  <w:abstractNum w:abstractNumId="112">
    <w:nsid w:val="519E3149"/>
    <w:multiLevelType w:val="hybridMultilevel"/>
    <w:lvl w:ilvl="0">
      <w:lvlJc w:val="left"/>
      <w:lvlText w:val="(%1)"/>
      <w:numFmt w:val="decimal"/>
      <w:start w:val="1"/>
    </w:lvl>
  </w:abstractNum>
  <w:abstractNum w:abstractNumId="113">
    <w:nsid w:val="2C6E4AFD"/>
    <w:multiLevelType w:val="hybridMultilevel"/>
    <w:lvl w:ilvl="0">
      <w:lvlJc w:val="left"/>
      <w:lvlText w:val="(%1)"/>
      <w:numFmt w:val="lowerRoman"/>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1)"/>
      <w:numFmt w:val="decimal"/>
      <w:start w:val="1"/>
    </w:lvl>
  </w:abstractNum>
  <w:abstractNum w:abstractNumId="119">
    <w:nsid w:val="5EC6AFD4"/>
    <w:multiLevelType w:val="hybridMultilevel"/>
    <w:lvl w:ilvl="0">
      <w:lvlJc w:val="left"/>
      <w:lvlText w:val="(%1)"/>
      <w:numFmt w:val="decimal"/>
      <w:start w:val="5"/>
    </w:lvl>
  </w:abstractNum>
  <w:abstractNum w:abstractNumId="120">
    <w:nsid w:val="19E21BB2"/>
    <w:multiLevelType w:val="hybridMultilevel"/>
    <w:lvl w:ilvl="0">
      <w:lvlJc w:val="left"/>
      <w:lvlText w:val="(%1)"/>
      <w:numFmt w:val="upperLetter"/>
      <w:start w:val="1"/>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
      <w:numFmt w:val="bullet"/>
      <w:start w:val="1"/>
    </w:lvl>
  </w:abstractNum>
  <w:abstractNum w:abstractNumId="130">
    <w:nsid w:val="BFFAE18"/>
    <w:multiLevelType w:val="hybridMultilevel"/>
    <w:lvl w:ilvl="0">
      <w:lvlJc w:val="left"/>
      <w:lvlText w:val="(%1)"/>
      <w:numFmt w:val="decimal"/>
      <w:start w:val="1"/>
    </w:lvl>
  </w:abstractNum>
  <w:abstractNum w:abstractNumId="131">
    <w:nsid w:val="E3E47A8"/>
    <w:multiLevelType w:val="hybridMultilevel"/>
    <w:lvl w:ilvl="0">
      <w:lvlJc w:val="left"/>
      <w:lvlText w:val="(%1)"/>
      <w:numFmt w:val="upperLetter"/>
      <w:start w:val="2"/>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1)"/>
      <w:numFmt w:val="decimal"/>
      <w:start w:val="1"/>
    </w:lvl>
  </w:abstractNum>
  <w:abstractNum w:abstractNumId="136">
    <w:nsid w:val="24F6AB8E"/>
    <w:multiLevelType w:val="hybridMultilevel"/>
    <w:lvl w:ilvl="0">
      <w:lvlJc w:val="left"/>
      <w:lvlText w:val="(%1)"/>
      <w:numFmt w:val="decimal"/>
      <w:start w:val="502"/>
    </w:lvl>
  </w:abstractNum>
  <w:abstractNum w:abstractNumId="137">
    <w:nsid w:val="634C574C"/>
    <w:multiLevelType w:val="hybridMultilevel"/>
    <w:lvl w:ilvl="0">
      <w:lvlJc w:val="left"/>
      <w:lvlText w:val="(%1)"/>
      <w:numFmt w:val="decimal"/>
      <w:start w:val="153"/>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2025-09-19T16:28:00Z</dcterms:created>
  <dcterms:modified xsi:type="dcterms:W3CDTF">2025-09-19T16:28:00Z</dcterms:modified>
</cp:coreProperties>
</file>