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before="0" w:after="12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160" w:after="18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60" w:after="18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001-42852</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Pattern Group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6371" w:type="dxa"/>
        <w:jc w:val="left"/>
        <w:tblInd w:w="0" w:type="dxa"/>
        <w:tblLayout w:type="fixed"/>
        <w:tblCellMar>
          <w:top w:w="28" w:type="dxa"/>
          <w:left w:w="28" w:type="dxa"/>
          <w:bottom w:w="28" w:type="dxa"/>
          <w:right w:w="28" w:type="dxa"/>
        </w:tblCellMar>
      </w:tblPr>
      <w:tblGrid>
        <w:gridCol w:w="1193"/>
        <w:gridCol w:w="1046"/>
        <w:gridCol w:w="1061"/>
        <w:gridCol w:w="109"/>
        <w:gridCol w:w="109"/>
        <w:gridCol w:w="109"/>
        <w:gridCol w:w="801"/>
        <w:gridCol w:w="801"/>
        <w:gridCol w:w="1142"/>
      </w:tblGrid>
      <w:tr>
        <w:trPr/>
        <w:tc>
          <w:tcPr>
            <w:tcW w:w="119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83-2556861</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1441 West Innovation Way, Suite 500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Lehi, 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84043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765-1355</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99"/>
        <w:gridCol w:w="1310"/>
        <w:gridCol w:w="1325"/>
        <w:gridCol w:w="109"/>
        <w:gridCol w:w="109"/>
        <w:gridCol w:w="109"/>
        <w:gridCol w:w="555"/>
        <w:gridCol w:w="555"/>
        <w:gridCol w:w="557"/>
        <w:gridCol w:w="109"/>
        <w:gridCol w:w="109"/>
        <w:gridCol w:w="109"/>
        <w:gridCol w:w="1095"/>
        <w:gridCol w:w="1095"/>
        <w:gridCol w:w="1560"/>
      </w:tblGrid>
      <w:tr>
        <w:trPr/>
        <w:tc>
          <w:tcPr>
            <w:tcW w:w="149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4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PTRN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8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8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18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8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The registrant had outstanding 155,696,579 shares of Series A common stock, par value $0.001 per share, and 21,702,510 shares of Series B common stock, par value $0.001 per share, as of August 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21" w:type="dxa"/>
        <w:jc w:val="left"/>
        <w:tblInd w:w="0" w:type="dxa"/>
        <w:tblLayout w:type="fixed"/>
        <w:tblCellMar>
          <w:top w:w="28" w:type="dxa"/>
          <w:left w:w="28" w:type="dxa"/>
          <w:bottom w:w="28" w:type="dxa"/>
          <w:right w:w="28" w:type="dxa"/>
        </w:tblCellMar>
      </w:tblPr>
      <w:tblGrid>
        <w:gridCol w:w="353"/>
        <w:gridCol w:w="310"/>
        <w:gridCol w:w="313"/>
        <w:gridCol w:w="2443"/>
        <w:gridCol w:w="2443"/>
        <w:gridCol w:w="2448"/>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0">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0">
              <w:r>
                <w:rPr>
                  <w:rStyle w:val="InternetLink"/>
                  <w:rFonts w:ascii="Times New Roman;serif" w:hAnsi="Times New Roman;serif"/>
                  <w:b w:val="false"/>
                  <w:strike w:val="false"/>
                  <w:dstrike w:val="false"/>
                  <w:color w:val="000000"/>
                  <w:sz w:val="20"/>
                  <w:u w:val="none"/>
                  <w:effect w:val="none"/>
                </w:rPr>
                <w:t>ii</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3">
              <w:r>
                <w:rPr>
                  <w:rStyle w:val="InternetLink"/>
                  <w:rFonts w:ascii="Times New Roman;serif" w:hAnsi="Times New Roman;serif"/>
                  <w:b/>
                  <w:color w:val="000000"/>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6">
              <w:r>
                <w:rPr>
                  <w:rStyle w:val="InternetLink"/>
                  <w:rFonts w:ascii="Times New Roman;serif" w:hAnsi="Times New Roman;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6">
              <w:r>
                <w:rPr>
                  <w:rStyle w:val="InternetLink"/>
                  <w:rFonts w:ascii="Times New Roman;serif" w:hAnsi="Times New Roman;serif"/>
                  <w:b w:val="false"/>
                  <w:strike w:val="false"/>
                  <w:dstrike w:val="false"/>
                  <w:color w:val="000000"/>
                  <w:sz w:val="20"/>
                  <w:u w:val="none"/>
                  <w:effect w:val="none"/>
                </w:rPr>
                <w:t>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2. </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94">
              <w:r>
                <w:rPr>
                  <w:rStyle w:val="InternetLink"/>
                  <w:rFonts w:ascii="Times New Roman;serif" w:hAnsi="Times New Roman;serif"/>
                  <w:b w:val="false"/>
                  <w:strike w:val="false"/>
                  <w:dstrike w:val="false"/>
                  <w:color w:val="000000"/>
                  <w:sz w:val="20"/>
                  <w:u w:val="none"/>
                  <w:effect w:val="none"/>
                </w:rPr>
                <w:t>15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27">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27">
              <w:r>
                <w:rPr>
                  <w:rStyle w:val="InternetLink"/>
                  <w:rFonts w:ascii="Times New Roman;serif" w:hAnsi="Times New Roman;serif"/>
                  <w:b w:val="false"/>
                  <w:strike w:val="false"/>
                  <w:dstrike w:val="false"/>
                  <w:color w:val="000000"/>
                  <w:sz w:val="20"/>
                  <w:u w:val="none"/>
                  <w:effect w:val="none"/>
                </w:rPr>
                <w:t>23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30">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30">
              <w:r>
                <w:rPr>
                  <w:rStyle w:val="InternetLink"/>
                  <w:rFonts w:ascii="Times New Roman;serif" w:hAnsi="Times New Roman;serif"/>
                  <w:b w:val="false"/>
                  <w:strike w:val="false"/>
                  <w:dstrike w:val="false"/>
                  <w:color w:val="000000"/>
                  <w:sz w:val="20"/>
                  <w:u w:val="none"/>
                  <w:effect w:val="none"/>
                </w:rPr>
                <w:t>23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33">
              <w:r>
                <w:rPr>
                  <w:rStyle w:val="InternetLink"/>
                  <w:rFonts w:ascii="Times New Roman;serif" w:hAnsi="Times New Roman;serif"/>
                  <w:b/>
                  <w:color w:val="000000"/>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36">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36">
              <w:r>
                <w:rPr>
                  <w:rStyle w:val="InternetLink"/>
                  <w:rFonts w:ascii="Times New Roman;serif" w:hAnsi="Times New Roman;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39">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39">
              <w:r>
                <w:rPr>
                  <w:rStyle w:val="InternetLink"/>
                  <w:rFonts w:ascii="Times New Roman;serif" w:hAnsi="Times New Roman;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42">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42">
              <w:r>
                <w:rPr>
                  <w:rStyle w:val="InternetLink"/>
                  <w:rFonts w:ascii="Times New Roman;serif" w:hAnsi="Times New Roman;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45">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45">
              <w:r>
                <w:rPr>
                  <w:rStyle w:val="InternetLink"/>
                  <w:rFonts w:ascii="Times New Roman;serif" w:hAnsi="Times New Roman;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48">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48">
              <w:r>
                <w:rPr>
                  <w:rStyle w:val="InternetLink"/>
                  <w:rFonts w:ascii="Times New Roman;serif" w:hAnsi="Times New Roman;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51">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51">
              <w:r>
                <w:rPr>
                  <w:rStyle w:val="InternetLink"/>
                  <w:rFonts w:ascii="Times New Roman;serif" w:hAnsi="Times New Roman;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54">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54">
              <w:r>
                <w:rPr>
                  <w:rStyle w:val="InternetLink"/>
                  <w:rFonts w:ascii="Times New Roman;serif" w:hAnsi="Times New Roman;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8621c3ba08476fb3ab15e4ea94b547_157">
              <w:r>
                <w:rPr>
                  <w:rStyle w:val="InternetLink"/>
                  <w:rFonts w:ascii="Times New Roman;serif" w:hAnsi="Times New Roman;serif"/>
                  <w:b w:val="false"/>
                  <w:color w:val="0000FF"/>
                  <w:sz w:val="20"/>
                  <w:u w:val="single"/>
                </w:rPr>
                <w:t>Signatures</w:t>
              </w:r>
            </w:hyperlink>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38621c3ba08476fb3ab15e4ea94b547_157">
              <w:r>
                <w:rPr>
                  <w:rStyle w:val="InternetLink"/>
                  <w:rFonts w:ascii="Times New Roman;serif" w:hAnsi="Times New Roman;serif"/>
                  <w:b w:val="false"/>
                  <w:strike w:val="false"/>
                  <w:dstrike w:val="false"/>
                  <w:color w:val="000000"/>
                  <w:sz w:val="20"/>
                  <w:u w:val="none"/>
                  <w:effect w:val="none"/>
                </w:rPr>
                <w:t>28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Quarterly Report on Form 10-Q, including statements regarding our strategy, future operations, financial position, estimated revenues and losses, projected costs, prospects, plans and objectives of management are forward-looking statements.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When considering forward-looking statements, you should keep in mind the risk factors and other cautionary statements described under the heading “Risk Factors” included in this Quarterly Report on Form 10</w:t>
        <w:noBreakHyphen/>
        <w:t>Q and those included within our Annual Report on Form 10-K for the year ended December 31, 2025 (the “Annual Report on Form 10-K”) as filed with the Securities and Exchange Commission (“SEC”) under the Securities Exchange Act of 1934, as amended (the “Exchange Act”). Forward-looking statements contained in this Quarterly Report on Form 10</w:t>
        <w:noBreakHyphen/>
        <w:t>Q may include, but are not limited to, statements about: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regarding our revenue, costs and other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estimated size of our addressable market opportunity;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growth rate of the markets in which we compete;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grow existing and attract new brand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expand and enhance our platform;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launch and monetize incremental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expand into global geographies;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utilize AI successfully in our current and future solutions and to participate effectively in evolving AI-driven commerce ecosystems;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anticipated capital expenditures and our estimates regarding our capital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investments in selling and marketing efforts;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reliance on our senior management and our ability to identify, recruit and integrate strategic personnel hires;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provide a quality purchasing experience for our consumers;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purchase products from our brand partners (including expanding product selection);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enhance and innovate our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investments in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expand into global geographies and marketplaces;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industry trends and other macroeconomic factors, such as fluctuating interest rates and rising inflation, including the impact on consumer spending;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general, business and geopolitical conditions worldwide on our industry, business and results of operations.</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Quarterly Report on Form 10-Q primarily on management’s current beliefs and our current expectations and projections about future events and trends that we believe may affect our business, results of operations, financial condition and prospects. In addition, statements that “we believe” and similar statements reflect our beliefs and opinions on the relevant subject. These statements are based upon information available to us as of the date of this Quarterly Report on Form 10</w:t>
        <w:noBreakHyphen/>
        <w:t>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w:t>
        <w:noBreakHyphen/>
        <w:t xml:space="preserve">Q relate only to events as of the date on which the statements are made. We undertake no obligation to update any forward-looking statements made in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Quarterly Report on Form 10</w:t>
        <w:noBreakHyphen/>
        <w:t>Q to reflect events or circumstances after the date of this Quarterly Report on Form 10</w:t>
        <w:noBreakHyphen/>
        <w:t>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this document, unless otherwise indicated or unless the context requires otherwise, all references in this document to “Pattern”, “the Company”, “we”, “us”, “our” or similar references are to Pattern Group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703"/>
        <w:gridCol w:w="1298"/>
        <w:gridCol w:w="129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70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1,575,393 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3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 attributable to common stockholders (Note 2)</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attributable to common stockholders (Note 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ind w:left="0" w:right="0" w:firstLine="36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(Unaudited)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105" w:type="dxa"/>
        <w:jc w:val="left"/>
        <w:tblInd w:w="0" w:type="dxa"/>
        <w:tblLayout w:type="fixed"/>
        <w:tblCellMar>
          <w:top w:w="28" w:type="dxa"/>
          <w:left w:w="28" w:type="dxa"/>
          <w:bottom w:w="28" w:type="dxa"/>
          <w:right w:w="28" w:type="dxa"/>
        </w:tblCellMar>
      </w:tblPr>
      <w:tblGrid>
        <w:gridCol w:w="1417"/>
        <w:gridCol w:w="1243"/>
        <w:gridCol w:w="125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58"/>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 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ind w:left="0" w:right="0" w:firstLine="36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383" w:type="dxa"/>
        <w:jc w:val="left"/>
        <w:tblInd w:w="0" w:type="dxa"/>
        <w:tblLayout w:type="fixed"/>
        <w:tblCellMar>
          <w:top w:w="28" w:type="dxa"/>
          <w:left w:w="28" w:type="dxa"/>
          <w:bottom w:w="28" w:type="dxa"/>
          <w:right w:w="28" w:type="dxa"/>
        </w:tblCellMar>
      </w:tblPr>
      <w:tblGrid>
        <w:gridCol w:w="2429"/>
        <w:gridCol w:w="2138"/>
        <w:gridCol w:w="2152"/>
        <w:gridCol w:w="211"/>
        <w:gridCol w:w="826"/>
        <w:gridCol w:w="109"/>
        <w:gridCol w:w="109"/>
        <w:gridCol w:w="109"/>
        <w:gridCol w:w="109"/>
        <w:gridCol w:w="211"/>
        <w:gridCol w:w="82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upon vesting of restricted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Supplemental disclosure of cash flow information: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firstLine="36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745"/>
        <w:gridCol w:w="2249"/>
        <w:gridCol w:w="2225"/>
        <w:gridCol w:w="242"/>
        <w:gridCol w:w="948"/>
        <w:gridCol w:w="124"/>
        <w:gridCol w:w="109"/>
        <w:gridCol w:w="109"/>
        <w:gridCol w:w="109"/>
        <w:gridCol w:w="211"/>
        <w:gridCol w:w="976"/>
        <w:gridCol w:w="158"/>
      </w:tblGrid>
      <w:tr>
        <w:trPr/>
        <w:tc>
          <w:tcPr>
            <w:tcW w:w="2745"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792,575 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1,072,598 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and Stockholders' Equity</w:t>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338,542 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common stock, $0.001 par value: 2,200,000 and 2,200,000 shares authorized, respectively; 154,691 and 155,381 shares issued and outstanding, respectively</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B common stock, $0.001 par value: 100,000 and 100,000 shares authorized, respectively; 21,703 and 21,703 shares issued and outstanding, respectively</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580,995 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645,632 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947,639 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1,072,598 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Convertible Preferred Stock and Stockholders’ Equity (Unaudited)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3662" w:type="dxa"/>
        <w:jc w:val="left"/>
        <w:tblInd w:w="0" w:type="dxa"/>
        <w:tblLayout w:type="fixed"/>
        <w:tblCellMar>
          <w:top w:w="28" w:type="dxa"/>
          <w:left w:w="28" w:type="dxa"/>
          <w:bottom w:w="28" w:type="dxa"/>
          <w:right w:w="28" w:type="dxa"/>
        </w:tblCellMar>
      </w:tblPr>
      <w:tblGrid>
        <w:gridCol w:w="588"/>
        <w:gridCol w:w="201"/>
        <w:gridCol w:w="202"/>
        <w:gridCol w:w="210"/>
        <w:gridCol w:w="150"/>
        <w:gridCol w:w="151"/>
        <w:gridCol w:w="109"/>
        <w:gridCol w:w="109"/>
        <w:gridCol w:w="109"/>
        <w:gridCol w:w="181"/>
        <w:gridCol w:w="616"/>
        <w:gridCol w:w="109"/>
        <w:gridCol w:w="109"/>
        <w:gridCol w:w="109"/>
        <w:gridCol w:w="109"/>
        <w:gridCol w:w="109"/>
        <w:gridCol w:w="109"/>
        <w:gridCol w:w="109"/>
        <w:gridCol w:w="264"/>
        <w:gridCol w:w="171"/>
        <w:gridCol w:w="151"/>
        <w:gridCol w:w="109"/>
        <w:gridCol w:w="109"/>
        <w:gridCol w:w="109"/>
        <w:gridCol w:w="181"/>
        <w:gridCol w:w="361"/>
        <w:gridCol w:w="109"/>
        <w:gridCol w:w="109"/>
        <w:gridCol w:w="109"/>
        <w:gridCol w:w="109"/>
        <w:gridCol w:w="210"/>
        <w:gridCol w:w="150"/>
        <w:gridCol w:w="151"/>
        <w:gridCol w:w="109"/>
        <w:gridCol w:w="109"/>
        <w:gridCol w:w="109"/>
        <w:gridCol w:w="181"/>
        <w:gridCol w:w="406"/>
        <w:gridCol w:w="109"/>
        <w:gridCol w:w="109"/>
        <w:gridCol w:w="109"/>
        <w:gridCol w:w="109"/>
        <w:gridCol w:w="210"/>
        <w:gridCol w:w="150"/>
        <w:gridCol w:w="151"/>
        <w:gridCol w:w="109"/>
        <w:gridCol w:w="109"/>
        <w:gridCol w:w="109"/>
        <w:gridCol w:w="181"/>
        <w:gridCol w:w="406"/>
        <w:gridCol w:w="109"/>
        <w:gridCol w:w="109"/>
        <w:gridCol w:w="109"/>
        <w:gridCol w:w="109"/>
        <w:gridCol w:w="181"/>
        <w:gridCol w:w="616"/>
        <w:gridCol w:w="109"/>
        <w:gridCol w:w="109"/>
        <w:gridCol w:w="109"/>
        <w:gridCol w:w="109"/>
        <w:gridCol w:w="215"/>
        <w:gridCol w:w="571"/>
        <w:gridCol w:w="130"/>
        <w:gridCol w:w="327"/>
        <w:gridCol w:w="181"/>
        <w:gridCol w:w="616"/>
        <w:gridCol w:w="109"/>
        <w:gridCol w:w="327"/>
        <w:gridCol w:w="181"/>
        <w:gridCol w:w="616"/>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Convertible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Series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Series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December 31, 2024</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March 31, 2025</w:t>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23,781 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June 30, 2025</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671" w:type="dxa"/>
            <w:gridSpan w:val="72"/>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671" w:type="dxa"/>
            <w:gridSpan w:val="72"/>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Convertible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Series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Series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December 31, 2025</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154,691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551,648 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580,995 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A common stock upon vesting of RSUs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 upon vesting of employee stock awards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March 31, 2026</w:t>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154,939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551,333 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609,688 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27,499 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A common stock upon vesting of RSUs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 upon vesting of employee stock awards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for ESPP purchases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June 30, 2026</w:t>
            </w:r>
          </w:p>
        </w:tc>
        <w:tc>
          <w:tcPr>
            <w:tcW w:w="5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559,802 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645,632 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 Description of Business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Pattern Group Inc. and its wholly owned subsidiaries (collectively “Pattern” or the “Company”) is a global ecommerce accelerator that leverages its technology platform, data science, and on-demand experts to help brands grow their ecommerce marketplace sales. The Company purchases inventory from its brand partners to sell to consumers, allowing it to manage merchandising, pricing, logistics, and customer experience.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brand partners operate across a variety of industries, including health and wellness, beauty and personal care, home and lifestyle, pet, sports and outdoors, and consumer electronics.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unaudited condensed consolidated financial statements include all adjustments, consisting of normal recurring adjustments, necessary for a fair presentation of the Company’s financial position, results of operations and cash flows for the periods presented. All intercompany accounts and transactions have been eliminated in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information and footnote disclosures normally included in financial statements prepared in accordance with GAAP have been condensed or omitted pursuant to SEC rules and regulations. These unaudited condensed consolidated financial statements should be read in conjunction with the audited consolidated financial statements and accompanying notes included in the Company’s Annual Report on Form 10-K for the year ended December 31,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interim periods presented are not necessarily indicative of the results to be expected for the full year due to seasonal and other factors.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financial statements and accompanying notes. Management evaluates these estimates and judgments on an ongoing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estimates include, but are not limited to, net realizable value of inventory, allowance for sales returns, allowance for doubtful accounts, valuation allowances on deferred tax assets, fair value of reporting units in evaluating goodwill for impairment, fair value of assets acquired and liabilities assumed in business combinations, the valuation of stock-based awards, fair value of common stock and the incremental borrowing rate (“IBR”) used to measure operating lease liabilities.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bases these estimates on historical and anticipated results, trends and various other assumptions that it believes are reasonable under the circumstances, including assumptions as to future events. Actual results could differ from these estimates and any such differences may be material to the Company’s consolidated financial statements.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source of revenue:</w:t>
      </w:r>
    </w:p>
    <w:tbl>
      <w:tblPr>
        <w:tblW w:w="9269" w:type="dxa"/>
        <w:jc w:val="left"/>
        <w:tblInd w:w="0" w:type="dxa"/>
        <w:tblLayout w:type="fixed"/>
        <w:tblCellMar>
          <w:top w:w="28" w:type="dxa"/>
          <w:left w:w="28" w:type="dxa"/>
          <w:bottom w:w="28" w:type="dxa"/>
          <w:right w:w="28" w:type="dxa"/>
        </w:tblCellMar>
      </w:tblPr>
      <w:tblGrid>
        <w:gridCol w:w="1212"/>
        <w:gridCol w:w="1067"/>
        <w:gridCol w:w="108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bookmarkStart w:id="0" w:name="ia1a3785d7da440b69c47cbb299b2cbee_0-1-1-"/>
            <w:bookmarkEnd w:id="0"/>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Amazon.com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Amazon marketplaces,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online marketplaces and channels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SaaS, logistics and 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geography:</w:t>
      </w:r>
    </w:p>
    <w:tbl>
      <w:tblPr>
        <w:tblW w:w="7081" w:type="dxa"/>
        <w:jc w:val="left"/>
        <w:tblInd w:w="0" w:type="dxa"/>
        <w:tblLayout w:type="fixed"/>
        <w:tblCellMar>
          <w:top w:w="28" w:type="dxa"/>
          <w:left w:w="28" w:type="dxa"/>
          <w:bottom w:w="28" w:type="dxa"/>
          <w:right w:w="28" w:type="dxa"/>
        </w:tblCellMar>
      </w:tblPr>
      <w:tblGrid>
        <w:gridCol w:w="423"/>
        <w:gridCol w:w="373"/>
        <w:gridCol w:w="37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updated its methodology for determining the geographic classification of revenue to better align with the country in which the marketplace is domiciled and how management evaluates regional performance. As a result, the Company has recast the prior period revenue by geographic region to conform to the current period presentation. This change affected only the allocation of revenue between geographic regions and did not impact total consolidated revenues, operating results, or cash flows for any period presented.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 was the only individual country accounting for more than 10% of total revenue.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share (“EPS”) are calculated using the Company’s weighted-average shares outstanding of common stock. Prior to the Company’s initial public offering, outstanding common stock consisted of Founder Voting Preferred Stock and Founder Non-Voting Preferred Stock. The Founder Voting and Founder Non-Voting Preferred Stock were considered common stock equivalents for purposes of calculating EPS, as they shared equally with common stock in the liquidation of the Company's net assets and did not contain an economic preference. Upon completion of the initial public offering, the Founder Voting and Founder Non-Voting Preferred Stock converted into Series A common stock and Series B common stock, respectively, which have been outstanding since that date. The rights, including the liquidation and dividend rights, of the holders of Series A and Series B common stock are identical, except with respect to voting, conversion and transfer rights. As the liquidation and dividend rights are identical, the undistributed earnings are allocated on a proportionate basis to each class of common stock and the resulting basic and diluted net income attributable to common stockholders are the same for both Series A and Series B common stock on both an individual and combined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dilutive effect of Series A Preferred Stock is reflected in diluted earnings per share by application of the more dilutive of the two-class method and if-converted method (two-class method only applies for periods of net income). The dilutive effect of Series B Preferred Stock is reflected in diluted earnings per share under the if-converted method, if dilutive. The if-converted method is calculated by assuming conversion at the beginning of the period or date of issuance, if later; and therefore, no dividend preference would accrue to the Series B Preferred Stock. Restricted stock units (“RSUs”) subject to conditions other than service conditions are considered contingently issuable shares and are included in the computation of dilutive shares only to the extent that the underlying performance condition is satisfied prior to the end of the reporting period or would be considered satisfied if the end of the reporting period were the end of the related contingency period and the results would be dilutive under the treasury stock method (see Note 8—Stock-Based Compensation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earnings per share attributable to common stockholders:</w:t>
      </w:r>
    </w:p>
    <w:tbl>
      <w:tblPr>
        <w:tblW w:w="10185" w:type="dxa"/>
        <w:jc w:val="left"/>
        <w:tblInd w:w="0" w:type="dxa"/>
        <w:tblLayout w:type="fixed"/>
        <w:tblCellMar>
          <w:top w:w="28" w:type="dxa"/>
          <w:left w:w="28" w:type="dxa"/>
          <w:bottom w:w="28" w:type="dxa"/>
          <w:right w:w="28" w:type="dxa"/>
        </w:tblCellMar>
      </w:tblPr>
      <w:tblGrid>
        <w:gridCol w:w="1810"/>
        <w:gridCol w:w="1590"/>
        <w:gridCol w:w="159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allocable to participating Series A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 dividend - undeclared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attributable to common stockholders: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instruments outstanding (prior to consideration of the treasury stock or if-converted methods) as of period end were not reflected in diluted EPS as their effect for the periods presented would be anti-dilutive or the instruments were not exercisable for potential common shares for the periods presented:</w:t>
      </w:r>
    </w:p>
    <w:tbl>
      <w:tblPr>
        <w:tblW w:w="7349" w:type="dxa"/>
        <w:jc w:val="left"/>
        <w:tblInd w:w="0" w:type="dxa"/>
        <w:tblLayout w:type="fixed"/>
        <w:tblCellMar>
          <w:top w:w="28" w:type="dxa"/>
          <w:left w:w="28" w:type="dxa"/>
          <w:bottom w:w="28" w:type="dxa"/>
          <w:right w:w="28" w:type="dxa"/>
        </w:tblCellMar>
      </w:tblPr>
      <w:tblGrid>
        <w:gridCol w:w="759"/>
        <w:gridCol w:w="669"/>
        <w:gridCol w:w="671"/>
        <w:gridCol w:w="500"/>
        <w:gridCol w:w="251"/>
        <w:gridCol w:w="251"/>
        <w:gridCol w:w="251"/>
        <w:gridCol w:w="251"/>
        <w:gridCol w:w="251"/>
        <w:gridCol w:w="251"/>
        <w:gridCol w:w="251"/>
        <w:gridCol w:w="251"/>
        <w:gridCol w:w="109"/>
        <w:gridCol w:w="109"/>
        <w:gridCol w:w="109"/>
        <w:gridCol w:w="452"/>
        <w:gridCol w:w="269"/>
        <w:gridCol w:w="224"/>
        <w:gridCol w:w="224"/>
        <w:gridCol w:w="224"/>
        <w:gridCol w:w="224"/>
        <w:gridCol w:w="257"/>
        <w:gridCol w:w="224"/>
        <w:gridCol w:w="317"/>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B Preferred Stock </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28,711 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28,711 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5791" w:type="dxa"/>
        <w:jc w:val="left"/>
        <w:tblInd w:w="0" w:type="dxa"/>
        <w:tblLayout w:type="fixed"/>
        <w:tblCellMar>
          <w:top w:w="28" w:type="dxa"/>
          <w:left w:w="28" w:type="dxa"/>
          <w:bottom w:w="28" w:type="dxa"/>
          <w:right w:w="28" w:type="dxa"/>
        </w:tblCellMar>
      </w:tblPr>
      <w:tblGrid>
        <w:gridCol w:w="1001"/>
        <w:gridCol w:w="882"/>
        <w:gridCol w:w="891"/>
        <w:gridCol w:w="276"/>
        <w:gridCol w:w="1081"/>
        <w:gridCol w:w="142"/>
        <w:gridCol w:w="109"/>
        <w:gridCol w:w="109"/>
        <w:gridCol w:w="109"/>
        <w:gridCol w:w="211"/>
        <w:gridCol w:w="826"/>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Amazon.com</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85,842 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 partner receivables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177,214 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xml:space="preserve">, which provides a practical expedient for measuring expected credit losses on current trade receivables and contract assets arising from revenue transactions within the scope of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the expedient, an entity may assume that the conditions existing as of the reporting date will not change over the remaining life of the asset when estimating expected credit losses. ASU 2025-05 is effective for annual reporting periods beginning after December 15, 2025, including interim reporting periods within that annual period, with early adoption permitted on a prospective basis. The Company adopted ASU 2025-05, electing the practical expedient, effective January 1, 2026 on a prospective basis. The adoption of this standard did not have a material effect on the Company’s consolidated financial statements and related disclosures.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which requires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specific expense categories in the notes to the financial statements. ASU 2024-03 is effective for annual periods beginning after December 15, 2026, and interim reporting periods within annual reporting periods beginning after December 15, 2027, with early adoption permitted and can be applied on either a prospective or retroactive basis. The Company is currently evaluating the impact that the adoption of this standard will have on its consolidated financial statements and related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(Topic 350-40): Targeted Improvements to the Accounting for Internal-Use Software</w:t>
      </w:r>
      <w:r>
        <w:rPr>
          <w:rFonts w:ascii="Times New Roman;serif" w:hAnsi="Times New Roman;serif"/>
          <w:b w:val="false"/>
          <w:color w:val="000000"/>
          <w:sz w:val="20"/>
        </w:rPr>
        <w:t>, which modernizes and clarifies guidance for capitalizing costs related to internal-use software development. The amendments remove stage-based terminology and incorporate guidance for website development costs previously included in ASC 350-50. ASU 2025-06 is effective for annual reporting periods beginning after December 15, 2027, and interim reporting periods within that annual period, with early adoption permitted. The Company is currently evaluating the impact that the adoption of this standard will have on its consolidated financial statements and related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clarifies and enhances the guidance related to the form, content and disclosure requirements of interim financial statements. The amendments reorganize and codify certain interim disclosure requirements, incorporate disclosure guidance from other Topics into ASC 270, and establish a disclosure principle requiring entities to provide disclosures about events and transactions occurring after the most recent annual reporting period that materially affect the entity. ASU 2025-11 is effective for interim reporting periods within annual reporting periods beginning after December 15, 2027. Early adoption is permitted, and the guidance may be applied prospectively or retrospectively, in whole or in part. The Company is currently evaluating the impact that the adoption of this standard will have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Property and Equipment,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107" w:type="dxa"/>
        <w:jc w:val="left"/>
        <w:tblInd w:w="0" w:type="dxa"/>
        <w:tblLayout w:type="fixed"/>
        <w:tblCellMar>
          <w:top w:w="28" w:type="dxa"/>
          <w:left w:w="28" w:type="dxa"/>
          <w:bottom w:w="28" w:type="dxa"/>
          <w:right w:w="28" w:type="dxa"/>
        </w:tblCellMar>
      </w:tblPr>
      <w:tblGrid>
        <w:gridCol w:w="1487"/>
        <w:gridCol w:w="1309"/>
        <w:gridCol w:w="1314"/>
        <w:gridCol w:w="304"/>
        <w:gridCol w:w="1039"/>
        <w:gridCol w:w="157"/>
        <w:gridCol w:w="109"/>
        <w:gridCol w:w="109"/>
        <w:gridCol w:w="109"/>
        <w:gridCol w:w="227"/>
        <w:gridCol w:w="777"/>
        <w:gridCol w:w="166"/>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construction</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equipment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related to property and equipment was $3.4 million and $4.4 million for the three months ended June 30, 2025 and 2026, respectively. Depreciation and amortization expense related to property and equipment was $6.8 million and $8.4 million for the six months ended June 30, 2025 and 2026,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Business Acquisitions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 2025, the Company completed the acquisition of 100% of the outstanding stock of ROI Hunter a.s., a Czech joint stock corporation (“ROI Hunter”). The acquisition of ROI Hunter expands the Company’s product offerings and enhances its market presence in the advertising intelligence platform sector. On December 18, 2025, the Company completed the acquisition of 100% of the outstanding stock of iDesign Technology USA LLC (“iDesign”). The acquisition of iDesign expands the Company’s product offerings and enhances its market presence in the digital media, influencer marketing and content-creation sectors. These transactions are expected to generate synergies through the integration of the acquired proprietary technologies and customer relationships. These acquisitions were accounted for as a business combination in accordance with ASC 805, Business Combinations.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consideration paid for the acquired entities and the amounts of the assets acquired and liabilities assumed recognized at the acquisition date:</w:t>
      </w:r>
    </w:p>
    <w:tbl>
      <w:tblPr>
        <w:tblW w:w="4700" w:type="dxa"/>
        <w:jc w:val="left"/>
        <w:tblInd w:w="0" w:type="dxa"/>
        <w:tblLayout w:type="fixed"/>
        <w:tblCellMar>
          <w:top w:w="28" w:type="dxa"/>
          <w:left w:w="28" w:type="dxa"/>
          <w:bottom w:w="28" w:type="dxa"/>
          <w:right w:w="28" w:type="dxa"/>
        </w:tblCellMar>
      </w:tblPr>
      <w:tblGrid>
        <w:gridCol w:w="1304"/>
        <w:gridCol w:w="1151"/>
        <w:gridCol w:w="1159"/>
        <w:gridCol w:w="211"/>
        <w:gridCol w:w="721"/>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701" w:type="dxa"/>
        <w:jc w:val="left"/>
        <w:tblInd w:w="0" w:type="dxa"/>
        <w:tblLayout w:type="fixed"/>
        <w:tblCellMar>
          <w:top w:w="28" w:type="dxa"/>
          <w:left w:w="28" w:type="dxa"/>
          <w:bottom w:w="28" w:type="dxa"/>
          <w:right w:w="28" w:type="dxa"/>
        </w:tblCellMar>
      </w:tblPr>
      <w:tblGrid>
        <w:gridCol w:w="1308"/>
        <w:gridCol w:w="1152"/>
        <w:gridCol w:w="1155"/>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total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deferred acquisition consideration represents a liability for indemnification holdbacks that is expected to be paid to the sellers through annual installments ending in December 2028, subject to adjustment under the terms of the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goodwill acquired represents the excess of the purchase price over the fair value of net identifiable assets acquired and is attributable to expected synergies, assembled workforce and future growth opportunities. The goodwill acquired is not deductible for tax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identifiable intangible assets acquired and their estimated useful lives as of the date of acquisition:</w:t>
      </w:r>
    </w:p>
    <w:tbl>
      <w:tblPr>
        <w:tblW w:w="7255" w:type="dxa"/>
        <w:jc w:val="left"/>
        <w:tblInd w:w="0" w:type="dxa"/>
        <w:tblLayout w:type="fixed"/>
        <w:tblCellMar>
          <w:top w:w="28" w:type="dxa"/>
          <w:left w:w="28" w:type="dxa"/>
          <w:bottom w:w="28" w:type="dxa"/>
          <w:right w:w="28" w:type="dxa"/>
        </w:tblCellMar>
      </w:tblPr>
      <w:tblGrid>
        <w:gridCol w:w="1005"/>
        <w:gridCol w:w="883"/>
        <w:gridCol w:w="886"/>
        <w:gridCol w:w="431"/>
        <w:gridCol w:w="1475"/>
        <w:gridCol w:w="223"/>
        <w:gridCol w:w="109"/>
        <w:gridCol w:w="109"/>
        <w:gridCol w:w="109"/>
        <w:gridCol w:w="592"/>
        <w:gridCol w:w="592"/>
        <w:gridCol w:w="841"/>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for years data)</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Useful Life at Acquisition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acquired identifiable net assets reflect updated provisional estimates which are subject to final valuations procedures. A measurement period adjustment of $0.1 million was recognized during the six months ended June 30, 2026 which resulted in an increase in the amount of goodwill recognized. The financial results of ROI Hunter and iDesign, from their respective acquisition dates through June 30, 2026, were not material to our Consolidated Statements of Operations, nor were they material to our prior period consolidated results on a pro forma basis. Costs related to the ROI Hunter and iDesign acquisitions were not material to our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Operating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supplemental cash flow information related to our operating leases:</w:t>
      </w:r>
    </w:p>
    <w:tbl>
      <w:tblPr>
        <w:tblW w:w="9894" w:type="dxa"/>
        <w:jc w:val="left"/>
        <w:tblInd w:w="0" w:type="dxa"/>
        <w:tblLayout w:type="fixed"/>
        <w:tblCellMar>
          <w:top w:w="28" w:type="dxa"/>
          <w:left w:w="28" w:type="dxa"/>
          <w:bottom w:w="28" w:type="dxa"/>
          <w:right w:w="28" w:type="dxa"/>
        </w:tblCellMar>
      </w:tblPr>
      <w:tblGrid>
        <w:gridCol w:w="2239"/>
        <w:gridCol w:w="1970"/>
        <w:gridCol w:w="1986"/>
        <w:gridCol w:w="109"/>
        <w:gridCol w:w="109"/>
        <w:gridCol w:w="195"/>
        <w:gridCol w:w="195"/>
        <w:gridCol w:w="378"/>
        <w:gridCol w:w="1105"/>
        <w:gridCol w:w="195"/>
        <w:gridCol w:w="109"/>
        <w:gridCol w:w="109"/>
        <w:gridCol w:w="109"/>
        <w:gridCol w:w="211"/>
        <w:gridCol w:w="721"/>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included in operating cash flows for lease arrangements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entered into a lease agreement for a warehouse and distribution facility located in Pennsylvania, which commenced on June 1, 2026 with an initial term of 7.4 years. The Company classified this lease as an operating lease. Upon commencement, the Company recognized an ROU asset and corresponding lease liability of $20.8 million, measured using a discount rate of 5.26%.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Credit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party to a revolving credit facility with JPMorgan Chase Bank, N.A. and other lenders pursuant to the Credit Agreement, dated September 4, 2025. The outstanding balance under the Company’s revolving line of credit facility was zero as of June 30, 2026 and the amount available to draw to was $150.0 million as of June 30, 2026. The revolving line of credit has a maturity date in September 2030 and will bear interest at a variable base rate plus an applicable margin ranging from 0.50% to 2.00%. The commitment fees on the unused portion range from 0.20% to 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credit agreement contains various financial, affirmative and negative covenants. As of June 30, 2026, the Company was in compliance with all covenants outlined in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two series of common stock: Series A common stock with a par value of $0.001 per share and Series B common stock with a par value of $0.001 per share. The rights of the holders of Series A common stock and Series B common stock are identical, except with respect to voting and conversion rights. Each share of Series A common stock is entitled to one vote. Each share of Series B common stock is entitled to 20 votes and is convertible at any time into one share of Series A common stock. Holders of common stock are entitled to receive any dividends as may be declared by the board of directors.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 2026, the Company’s board of directors authorized a share repurchase program (the “Share Repurchase Program”), pursuant to which the Company may repurchase up to $100 million in aggregate of its issued and outstanding shares of Series A common stock. Repurchases may be made from time to time through open market transactions, privately negotiated transactions, or other means, including pursuant to Rule 10b5-1 plans.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repurchased 7,800 shares of Series A common stock at an average price per share of $11.98 and for an aggregate purchase price of $0.1 million, including transaction costs. During the six months ended June 30, 2026, the Company repurchased 319,531 shares of Series A common stock at an average price per share of $11.62 and for an aggregate purchase price of $3.7 million, including transaction costs. As of June 30, 2026, the Company had $96.3 million remaining authorized for future repurchases.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Shares repurchased under the Share Repurchase Program are accounted for as retired shares. Upon repurchase, the shares are immediately retired and are no longer considered issued or outstanding.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Secondary Offering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17, 2026, the Company entered into an underwriting agreement with the selling stockholder (“Seller”) and J.P. Morgan Securities LLC and Goldman Sachs &amp; Co. LLC as representatives of the underwriters listed thereto (“Underwriters”), relating to the offer and sale by the Seller of 8,000,000 shares of Series A common stock at a price to the public of $19.00 per share (the “Secondary Offering”). In addition, the Seller granted the Underwriters a 30-day option to purchase up to an additional 1,200,000 shares of Series A common stock, which the Underwriters exercised on June 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2026 (the “Option Shares Offering”). The Company did not sell any shares of Series A common stock and did not receive any proceeds in connection with the Secondary Offering or Option Shares Offering.</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classified within the corresponding operating expense categories in the consolidated statements of operations as follows:</w:t>
      </w:r>
    </w:p>
    <w:tbl>
      <w:tblPr>
        <w:tblW w:w="7981" w:type="dxa"/>
        <w:jc w:val="left"/>
        <w:tblInd w:w="0" w:type="dxa"/>
        <w:tblLayout w:type="fixed"/>
        <w:tblCellMar>
          <w:top w:w="28" w:type="dxa"/>
          <w:left w:w="28" w:type="dxa"/>
          <w:bottom w:w="28" w:type="dxa"/>
          <w:right w:w="28" w:type="dxa"/>
        </w:tblCellMar>
      </w:tblPr>
      <w:tblGrid>
        <w:gridCol w:w="1175"/>
        <w:gridCol w:w="1036"/>
        <w:gridCol w:w="1044"/>
        <w:gridCol w:w="228"/>
        <w:gridCol w:w="439"/>
        <w:gridCol w:w="117"/>
        <w:gridCol w:w="117"/>
        <w:gridCol w:w="117"/>
        <w:gridCol w:w="117"/>
        <w:gridCol w:w="228"/>
        <w:gridCol w:w="780"/>
        <w:gridCol w:w="117"/>
        <w:gridCol w:w="109"/>
        <w:gridCol w:w="109"/>
        <w:gridCol w:w="109"/>
        <w:gridCol w:w="211"/>
        <w:gridCol w:w="406"/>
        <w:gridCol w:w="109"/>
        <w:gridCol w:w="109"/>
        <w:gridCol w:w="109"/>
        <w:gridCol w:w="109"/>
        <w:gridCol w:w="211"/>
        <w:gridCol w:w="721"/>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Compensation expense associated with cash-settled RSUs was $0.8 million and $1.4 million for the three and six months ended June 30, 2026, respectively, and was included in operations, general and administrative in the condensed consolidated statements of operations.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w:t>
      </w:r>
    </w:p>
    <w:tbl>
      <w:tblPr>
        <w:tblW w:w="7631" w:type="dxa"/>
        <w:jc w:val="left"/>
        <w:tblInd w:w="0" w:type="dxa"/>
        <w:tblLayout w:type="fixed"/>
        <w:tblCellMar>
          <w:top w:w="28" w:type="dxa"/>
          <w:left w:w="28" w:type="dxa"/>
          <w:bottom w:w="28" w:type="dxa"/>
          <w:right w:w="28" w:type="dxa"/>
        </w:tblCellMar>
      </w:tblPr>
      <w:tblGrid>
        <w:gridCol w:w="1168"/>
        <w:gridCol w:w="1026"/>
        <w:gridCol w:w="1030"/>
        <w:gridCol w:w="344"/>
        <w:gridCol w:w="346"/>
        <w:gridCol w:w="166"/>
        <w:gridCol w:w="109"/>
        <w:gridCol w:w="109"/>
        <w:gridCol w:w="109"/>
        <w:gridCol w:w="693"/>
        <w:gridCol w:w="2023"/>
        <w:gridCol w:w="508"/>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fair values)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unrecognized stock-based compensation expense related to these awards was $84.9 million as of June 30, 2026 and the weighted-average remaining requisite service period is 2.66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2025 Employee Stock Purchase Plan (“ESPP”), $1.3 million of employee contributions was used to purchase 97,811 shares of Series A common stock, at an average purchase price per share of $12.71, during the six months ended June 30, 2026. Stock-based compensation expense associated with the ESPP is included in the stock-based compensation expense table above. Stock-based compensation expense associated with the ESPP recognized during the six months ended June 30, 2026 and unrecognized stock-based compensation expense at June 30, 2026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Provision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calculated the year-to-date provision for income taxes by applying the estimated annual effective tax rate to the ordinary year-to-date income before income taxes for each applicable jurisdiction and adjusted for discrete tax items in the period. The Company’s provision for income taxes was $8.1 million and $10.0 million for the three months ended June 30, 2025 and 2026, respectively. The Company’s provision for income taxes was $16.0 million and $22.4 million for the six months ended June 30, 2025 and 2026, respectively, reflecting effective tax rates of approximately 25.6% and 28.3%, respectively. The higher effective tax rate in 2026 compared to the U.S. federal statutory rate was primarily driven by limitations on the deductibility of stock-based compensation and the impact of loss entities for which no tax benefit is available due to valuation allowances.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did not have any material future payments under non-cancelable purchase obligations.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legal proceedings arising in the ordinary course of business. Loss contingencies are recorded when it is both probable that a liability has been incurred and the amount of the loss can be reasonably estimated. Accounting for contingencies requires the use of judgment related to both the likelihood of a loss and the estimate of the amount or range of loss.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not involved in any legal proceedings, individually or in the aggregate, that the Company believes are probably or reasonably possible to have a material adverse effect on its business, results of operations, financial condition or cash flows.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provide indemnifications of varying scope and terms to customers, brand partners, lessors, investors, directors, officers, employees and other parties with respect to certain matters. Indemnification may include losses from the breach of such agreements, services the Company provides or third-party intellectual property infringement claims. These indemnifications may survive termination of the underlying agreement and the maximum potential amount of future indemnification payments may not be subject to a cap.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11. Segment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on a consolidated basis and operates as a single operating and reportable segment. The Company primarily derives its revenue in the United States by selling products to customers via online marketplaces.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Company’s Chief Executive Officer, who reviews financial information on a consolidated basis. The CODM uses consolidated net income to assess financial performance and allocate resources. Net income is used by the CODM to make key operating decisions by comparing actual net income to historical results and previously forecasted financial information. The CODM does not review assets in evaluating the results of the reportable segment.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and reportable segment:</w:t>
      </w:r>
    </w:p>
    <w:tbl>
      <w:tblPr>
        <w:tblW w:w="9764" w:type="dxa"/>
        <w:jc w:val="left"/>
        <w:tblInd w:w="0" w:type="dxa"/>
        <w:tblLayout w:type="fixed"/>
        <w:tblCellMar>
          <w:top w:w="28" w:type="dxa"/>
          <w:left w:w="28" w:type="dxa"/>
          <w:bottom w:w="28" w:type="dxa"/>
          <w:right w:w="28" w:type="dxa"/>
        </w:tblCellMar>
      </w:tblPr>
      <w:tblGrid>
        <w:gridCol w:w="1395"/>
        <w:gridCol w:w="1229"/>
        <w:gridCol w:w="123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Fulfillment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Marketplace commissions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general and administrative</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Technology</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Share-based compensation and related taxes</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(1)Fulfillment includes costs incurred from third-party fulfillment centers and cost to operate and staff the Company’s fulfillment centers, excluding share-based compensation and related taxes.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(2)Marketplace commissions includes referral fees charged by the various online marketplaces.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(3)Sales, general and administrative relate to employee headcount, excluding share-based compensation and related taxes, and other selling and general administrative costs.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(4)Technology represents items included in research and development within the condensed consolidated statement of operations, excluding share-based compensation and related taxes, and the amortization of capitalized internally developed software costs.</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(5)Share-based compensation and related taxes include compensation expense for both stock and cash settled restricted stock units and the related employer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2—Summary of Significant Accounting Policies for additional information about revenue disaggregation.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long-lived tangible assets, as well as the Company's operating lease right-of-use assets recognized on the condensed consolidated balance sheets were located as follows:</w:t>
      </w:r>
    </w:p>
    <w:tbl>
      <w:tblPr>
        <w:tblW w:w="4168" w:type="dxa"/>
        <w:jc w:val="left"/>
        <w:tblInd w:w="0" w:type="dxa"/>
        <w:tblLayout w:type="fixed"/>
        <w:tblCellMar>
          <w:top w:w="28" w:type="dxa"/>
          <w:left w:w="28" w:type="dxa"/>
          <w:bottom w:w="28" w:type="dxa"/>
          <w:right w:w="28" w:type="dxa"/>
        </w:tblCellMar>
      </w:tblPr>
      <w:tblGrid>
        <w:gridCol w:w="423"/>
        <w:gridCol w:w="373"/>
        <w:gridCol w:w="375"/>
        <w:gridCol w:w="304"/>
        <w:gridCol w:w="1039"/>
        <w:gridCol w:w="157"/>
        <w:gridCol w:w="109"/>
        <w:gridCol w:w="109"/>
        <w:gridCol w:w="109"/>
        <w:gridCol w:w="227"/>
        <w:gridCol w:w="777"/>
        <w:gridCol w:w="166"/>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and analysis of our financial condition and results of operations in conjunction with the condensed consolidated financial statements and related notes thereto included elsewhere in this Quarterly Report on Form 10-Q and the audited consolidated financial statements and notes thereto and management’s discussion and analysis of financial condition and results of operations for the year ended December 31, 2025 included in the Annual Report on Form 10-K. The following discussion is intended to help the reader understand our company, our operations and our present business environment, and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the Annual Report on Form 10-K, particularly in the sections titled “Special Note Regarding Forward-Looking Statements” and “Risk Factors.” Our historical results are not necessarily indicative of the results that may be expected for any period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Pattern, we are on a mission to help brands accelerate profitable growth on global ecommerce marketplaces. Our proprietary technology and on-demand experts operate across more than 70 marketplaces to increase product sales to consumers in more than 100 countries. We have gathered more than 91 trillion data points comprised of keyword, shipping, advertising, sales, market share, click, social, conversion, customer service and other data. Utilizing these data points and sophisticated machine learning and artificial intelligence (“AI”) models, we strive to optimize and automate key levers of ecommerce growth, including advertising, content creation and management, pricing, forecasting and customer service.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complexities that consumer brands face in scaling and accelerating global ecommerce, we have built a powerful ecommerce acceleration platform (“our technology”) organized around a simple and intuitive formula, which we call the ecommerce equation:</w:t>
      </w:r>
    </w:p>
    <w:p>
      <w:pPr>
        <w:pStyle w:val="TextBody"/>
        <w:bidi w:val="0"/>
        <w:spacing w:before="0" w:after="180"/>
        <w:ind w:left="0" w:right="0" w:firstLine="360"/>
        <w:jc w:val="center"/>
        <w:rPr/>
      </w:pPr>
      <w:r>
        <w:rPr/>
        <w:drawing>
          <wp:inline distT="0" distB="0" distL="0" distR="0">
            <wp:extent cx="5943600" cy="1028700"/>
            <wp:effectExtent l="0" t="0" r="0" b="0"/>
            <wp:docPr id="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 descr=""/>
                    <pic:cNvPicPr>
                      <a:picLocks noChangeAspect="1" noChangeArrowheads="1"/>
                    </pic:cNvPicPr>
                  </pic:nvPicPr>
                  <pic:blipFill>
                    <a:blip r:embed="rId2"/>
                    <a:stretch>
                      <a:fillRect/>
                    </a:stretch>
                  </pic:blipFill>
                  <pic:spPr bwMode="auto">
                    <a:xfrm>
                      <a:off x="0" y="0"/>
                      <a:ext cx="5943600" cy="1028700"/>
                    </a:xfrm>
                    <a:prstGeom prst="rect">
                      <a:avLst/>
                    </a:prstGeom>
                  </pic:spPr>
                </pic:pic>
              </a:graphicData>
            </a:graphic>
          </wp:inline>
        </w:drawing>
      </w:r>
      <w:bookmarkStart w:id="1" w:name="i-1"/>
      <w:bookmarkEnd w:id="1"/>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executes thousands of optimizations daily and drives the ecommerce equation across tens of thousands of products on marketplaces around the world. These optimizations include automated adjustments and recommendations powered by AI, machine learning and our massive flow of ecommerce data points, allowing brands to navigate the complexity of operating on global ecommerce marketplaces at scale.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with a combined total of 44 issued patents and patents pending, is supported by approximately 510 software engineers, data scientists and other technology professionals who are dedicated to enhancing and innovating upon our technology to further increase our capabilities. We have a team that offers on-demand expertise and capabilities across marketplace management, marketing, fulfillment and brand protection on a global basis. We sell products from more than 250 brands across different industries and geographies including the Americas, Europe, Australia and Asia. Our current brand partners’ industry presence includes health and wellness, beauty and personal care, home and lifestyle, pet, sports and outdoors and consumer electronics.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generate the substantial majority of our revenue from consumer product sales on global ecommerce marketplaces. Pattern acquires inventory based on contractual relationships with brand partners and uses its platform to optimize the ecommerce equation by driving traffic, increasing conversion, managing price and maintaining product availability across global ecommerce marketplaces.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target brand partners with a proven track record of selling highly rated products, a loyal customer base and growth potential, assessed through our proprietary scorecard. Using our extensive data, we identify potential brand partners, and our sales team efficiently markets to and signs new brand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developed and maintain strong and long-lasting brand partner relationships. Revenue attributable to brand partners consists of consumer product sales and other revenue, including subscription and consulting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Purchasing our brand partners’ products offers several advantages, creating a mutually beneficial partnership that supports growth for both Pattern and our brand partners by:</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Providing a simple low-friction model where brands sell their products to Pattern at predetermined prices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Reducing the need for brands to allocate technology and overhead budget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Allowing Pattern to manage the marketplace experience and optimize the ecommerce equation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Enabling Pattern to gather data, conduct real-time testing and enhance predictive models with AI</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operating model capitalizes on global economies of scale to optimize costs while investing in future growth. By managing more brand partners, we streamline logistics, reducing delivery times and costs. As we enhance operational efficiencies, we remain committed to innovating our technology, expanding capabilities and offering new solutions to our partners. Investments in technology and warehouse automation have significantly boosted our operational efficiency and realize tangible economic benefits from scale.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 and Non-GAAP Financial Measure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measure our business using both financial and operating metrics and use the following metric and measure to assess the near-term and long-term performance of our overall business, including identifying trends, formulating financial projections, making strategic decisions, assessing operational efficiencies and monitoring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Revenue Retention 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Revenue Retention Rate (“NRR”) is an important metric to measure the long-term performance of our brand partner relationships. In any given period, we calculate NRR by comparing total revenue attributable to all existing brand partners in the current trailing 12-month period to that of the previous trailing 12-month period. This metric, expressed as a percentage, provides valuable insight into the accelerated growth delivered through our platform, the effectiveness of our brand expansion strategies and our ability to deepen relationships with existing brand partners. “Existing brand partners” are defined as brand partners that, as of the measurement date, have been with Pattern for more than twelve months since we first generated over $1,000 in revenue attributable to such brand partner. “New brand partners” are defined as all other brand partners that are not existing brand partners. For purposes of our NRR calculation, for those existing brand partners that, as of the measurement date, have been with Pattern for more than twelve full months but less than 24 full months since we first generated over $1,000 in revenue attributable to such brand partner, we only include current period revenue for the corresponding months in the current period for which the brand partner had attributable revenue in the previous period. For example, when calculating NRR as of June 30, 2026 for a brand partner that Pattern first generated over $1,000 of attributable revenue in December 2024, we would only include that brand partner’s attributable revenue from December 2025 through June 2026 in the numerator and that brand partner’s attributable revenue from December 2024 through June 2025 in the denominator. Current period revenue includes the impact of any expansion, contraction and attrition. NRR excludes revenue attributable to new brand partners during the current period. All revenue attributable to services relating to consulting and design are excluded.</w:t>
      </w:r>
    </w:p>
    <w:tbl>
      <w:tblPr>
        <w:tblW w:w="4805" w:type="dxa"/>
        <w:jc w:val="left"/>
        <w:tblInd w:w="0" w:type="dxa"/>
        <w:tblLayout w:type="fixed"/>
        <w:tblCellMar>
          <w:top w:w="28" w:type="dxa"/>
          <w:left w:w="28" w:type="dxa"/>
          <w:bottom w:w="28" w:type="dxa"/>
          <w:right w:w="28" w:type="dxa"/>
        </w:tblCellMar>
      </w:tblPr>
      <w:tblGrid>
        <w:gridCol w:w="884"/>
        <w:gridCol w:w="779"/>
        <w:gridCol w:w="781"/>
        <w:gridCol w:w="233"/>
        <w:gridCol w:w="233"/>
        <w:gridCol w:w="424"/>
        <w:gridCol w:w="170"/>
        <w:gridCol w:w="170"/>
        <w:gridCol w:w="170"/>
        <w:gridCol w:w="233"/>
        <w:gridCol w:w="233"/>
        <w:gridCol w:w="495"/>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results determined in accordance with accounting principles generally accepted in the United States (“GAAP”), we believe that Adjusted EBITDA, a non-GAAP financial measure, is useful in evaluating our operational performance. We calculate Adjusted EBITDA, as net income excluding depreciation and amortization; interest income, net; provision for income taxes; share-based compensation expense and related taxes; indirect initial public offering and secondary offering costs; and other items that we do not consider representative of our underlying operations. We believe it is useful to exclude charges, such as depreciation and amortization and share-based compensation expense from our Adjusted EBITDA because the amount of such expenses in any specific period may not directly correlate to the underlying performance of our business operations. We believe it is useful to exclude interest income, net; provision for income taxes; and other items that are not components of our core business operations. Non-GAAP financial measures such as Adjusted EBITDA should not be considered in isolation or as an alternative to net income or any other measure of financial performance calculated and prescribed in accordance with GAAP. In addition, Adjusted EBITDA may not be comparable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similarly titled measures in other organizations because other organizations may not calculate Adjusted EBITDA in the same manner as we do, thus limiting its usefulness as a comparative measure.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non-GAAP Adjusted EBITDA to the most directly comparable financial measure presented in accordance with GAAP.</w:t>
      </w:r>
    </w:p>
    <w:tbl>
      <w:tblPr>
        <w:tblW w:w="10205" w:type="dxa"/>
        <w:jc w:val="left"/>
        <w:tblInd w:w="0" w:type="dxa"/>
        <w:tblLayout w:type="fixed"/>
        <w:tblCellMar>
          <w:top w:w="28" w:type="dxa"/>
          <w:left w:w="28" w:type="dxa"/>
          <w:bottom w:w="28" w:type="dxa"/>
          <w:right w:w="28" w:type="dxa"/>
        </w:tblCellMar>
      </w:tblPr>
      <w:tblGrid>
        <w:gridCol w:w="1780"/>
        <w:gridCol w:w="1563"/>
        <w:gridCol w:w="156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178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(deduct):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Share-based compensation and related taxes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Indirect initial public offering and secondary offering costs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(1)Share-based compensation and related taxes include compensation expense for both stock and cash settled restricted stock units and the related employer taxes.</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(2)Secondary offering costs relate to fees and expenses incurred in conjunction with an underwritten secondary public offering by a certain stockholder of the Company. Pursuant to the Amended and Restated Investors’ Rights Agreement, dated as of September 28, 2021, by and among the Company and the investors listed therein, we are obligated to bear the registration expenses associated with such offering. We did not receive any proceeds from the sale of shares by the selling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Consolidated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 revenue primarily from consumer product sales attributable to brand partners, across a number of categories including health and wellness, beauty and personal care, home and lifestyle, pet, sports and outdoors and consumer electronics, through both domestic and international ecommerce marketplaces. Revenue from the sale of products is recorded when products are shipped to the customer, net of returns allowances. Taxes collected from customers are excluded from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generate revenue through subscription and consulting fees for our comprehensive suite of ecommerce solutions, including advanced advertising and marketing technology, actionable business insights, compliance solutions, logistics and fulfillment support, creative design and strategic growth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goods sold consists of the purchase price of inventory sold to customers. Shipping costs to receive products from our brand partners and costs to ship products to third-party fulfillment centers are included in our inventory and recognized as cost of goods sold upon sale of the products to customers.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Operations, 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 expenses consist of third-party fulfillment costs; payroll and related expenses; warehousing costs; facilities and equipment, including depreciation and amortization, rent and other occupancy expenses; professional and legal fees; as well as costs associated with other general costs for corporate functions, including accounting, finance and human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Fulfillment costs represent those costs incurred from third-party fulfillment centers and in operating and staffing our fulfillment centers, including costs related to buying, receiving, inspecting and warehousing inventories, picking, packaging and preparing customer orders for shipment.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of third-party online marketplace commission fees, targeted online advertising and other marketing expenses, payroll and related expenses for personnel engaged in marketing and selling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include payroll and related expenses for employees involved in the research and development of our technology, development and design of our websites and curation and display of products available on third-party marketplaces.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Consolidated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tbl>
      <w:tblPr>
        <w:tblW w:w="9300" w:type="dxa"/>
        <w:jc w:val="left"/>
        <w:tblInd w:w="0" w:type="dxa"/>
        <w:tblLayout w:type="fixed"/>
        <w:tblCellMar>
          <w:top w:w="28" w:type="dxa"/>
          <w:left w:w="28" w:type="dxa"/>
          <w:bottom w:w="28" w:type="dxa"/>
          <w:right w:w="28" w:type="dxa"/>
        </w:tblCellMar>
      </w:tblPr>
      <w:tblGrid>
        <w:gridCol w:w="1226"/>
        <w:gridCol w:w="1079"/>
        <w:gridCol w:w="108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1,575,393 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92" w:type="dxa"/>
        <w:jc w:val="left"/>
        <w:tblInd w:w="0" w:type="dxa"/>
        <w:tblLayout w:type="fixed"/>
        <w:tblCellMar>
          <w:top w:w="28" w:type="dxa"/>
          <w:left w:w="28" w:type="dxa"/>
          <w:bottom w:w="28" w:type="dxa"/>
          <w:right w:w="28" w:type="dxa"/>
        </w:tblCellMar>
      </w:tblPr>
      <w:tblGrid>
        <w:gridCol w:w="1177"/>
        <w:gridCol w:w="1037"/>
        <w:gridCol w:w="1041"/>
        <w:gridCol w:w="308"/>
        <w:gridCol w:w="308"/>
        <w:gridCol w:w="470"/>
        <w:gridCol w:w="189"/>
        <w:gridCol w:w="189"/>
        <w:gridCol w:w="189"/>
        <w:gridCol w:w="308"/>
        <w:gridCol w:w="308"/>
        <w:gridCol w:w="470"/>
        <w:gridCol w:w="109"/>
        <w:gridCol w:w="109"/>
        <w:gridCol w:w="109"/>
        <w:gridCol w:w="285"/>
        <w:gridCol w:w="286"/>
        <w:gridCol w:w="424"/>
        <w:gridCol w:w="170"/>
        <w:gridCol w:w="170"/>
        <w:gridCol w:w="170"/>
        <w:gridCol w:w="285"/>
        <w:gridCol w:w="286"/>
        <w:gridCol w:w="495"/>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of revenue)</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2025 and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tbl>
      <w:tblPr>
        <w:tblW w:w="6704" w:type="dxa"/>
        <w:jc w:val="left"/>
        <w:tblInd w:w="0" w:type="dxa"/>
        <w:tblLayout w:type="fixed"/>
        <w:tblCellMar>
          <w:top w:w="28" w:type="dxa"/>
          <w:left w:w="28" w:type="dxa"/>
          <w:bottom w:w="28" w:type="dxa"/>
          <w:right w:w="28" w:type="dxa"/>
        </w:tblCellMar>
      </w:tblPr>
      <w:tblGrid>
        <w:gridCol w:w="461"/>
        <w:gridCol w:w="406"/>
        <w:gridCol w:w="40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44"/>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5429" w:type="dxa"/>
            <w:gridSpan w:val="21"/>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54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was primarily driven by the growth of consumer product sales attributable to existing brand partners, as evidenced by our NRR of 129% for the period ended June 30, 2026. Revenue from Amazon marketplaces increased $239.0 million, or 43%, year-over-year and revenue not attributable to Amazon increased $39.6 million, or 93%, year-over-year. Collectively, international revenue increased $51.2 million, or 87%, year-over-year.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w:t>
      </w:r>
    </w:p>
    <w:tbl>
      <w:tblPr>
        <w:tblW w:w="7063" w:type="dxa"/>
        <w:jc w:val="left"/>
        <w:tblInd w:w="0" w:type="dxa"/>
        <w:tblLayout w:type="fixed"/>
        <w:tblCellMar>
          <w:top w:w="28" w:type="dxa"/>
          <w:left w:w="28" w:type="dxa"/>
          <w:bottom w:w="28" w:type="dxa"/>
          <w:right w:w="28" w:type="dxa"/>
        </w:tblCellMar>
      </w:tblPr>
      <w:tblGrid>
        <w:gridCol w:w="591"/>
        <w:gridCol w:w="520"/>
        <w:gridCol w:w="52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4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54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cost of goods sold was primarily driven by an increase in revenue of 46.6%. The increase in cost of goods sold was smaller than the increase in revenue on a percentage basis, primarily driven by product and brand mix.</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Operations, General and Administrative</w:t>
      </w:r>
    </w:p>
    <w:tbl>
      <w:tblPr>
        <w:tblW w:w="8579" w:type="dxa"/>
        <w:jc w:val="left"/>
        <w:tblInd w:w="0" w:type="dxa"/>
        <w:tblLayout w:type="fixed"/>
        <w:tblCellMar>
          <w:top w:w="28" w:type="dxa"/>
          <w:left w:w="28" w:type="dxa"/>
          <w:bottom w:w="28" w:type="dxa"/>
          <w:right w:w="28" w:type="dxa"/>
        </w:tblCellMar>
      </w:tblPr>
      <w:tblGrid>
        <w:gridCol w:w="1175"/>
        <w:gridCol w:w="1036"/>
        <w:gridCol w:w="10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544"/>
      </w:tblGrid>
      <w:tr>
        <w:trPr/>
        <w:tc>
          <w:tcPr>
            <w:tcW w:w="11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532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operations, general and administrative expenses was primarily driven by an increase of $44.5 million in fulfillment costs associated with the increase in consumer product sales and the recognition of $6.6 million of stock-based compensation expense. The remaining $10.2 million increase was primarily driven by an increase in corporate headcount, depreciation, amortization, and rent expense.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7078" w:type="dxa"/>
        <w:jc w:val="left"/>
        <w:tblInd w:w="0" w:type="dxa"/>
        <w:tblLayout w:type="fixed"/>
        <w:tblCellMar>
          <w:top w:w="28" w:type="dxa"/>
          <w:left w:w="28" w:type="dxa"/>
          <w:bottom w:w="28" w:type="dxa"/>
          <w:right w:w="28" w:type="dxa"/>
        </w:tblCellMar>
      </w:tblPr>
      <w:tblGrid>
        <w:gridCol w:w="634"/>
        <w:gridCol w:w="559"/>
        <w:gridCol w:w="56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532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expenses was primarily driven by an increase in marketplace commissions of $39.2 million, which generally grew in line with revenue on a percentage basis, and the recognition of $3.5 million of stock-based compensation expense. Partner marketing and advertising expenses increased $3.2 million year-over-year. The remaining $8.4 million increase was primarily driven by an increase in brand management, sales and marketing, advertising and creative headcount.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7318" w:type="dxa"/>
        <w:jc w:val="left"/>
        <w:tblInd w:w="0" w:type="dxa"/>
        <w:tblLayout w:type="fixed"/>
        <w:tblCellMar>
          <w:top w:w="28" w:type="dxa"/>
          <w:left w:w="28" w:type="dxa"/>
          <w:bottom w:w="28" w:type="dxa"/>
          <w:right w:w="28" w:type="dxa"/>
        </w:tblCellMar>
      </w:tblPr>
      <w:tblGrid>
        <w:gridCol w:w="835"/>
        <w:gridCol w:w="735"/>
        <w:gridCol w:w="73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85"/>
        <w:gridCol w:w="286"/>
        <w:gridCol w:w="54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500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costs was primarily driven by $5.9 million of investments in AI, technology, and headcount of software engineers, data scientists, and other technology professionals that support enhanced platform capabilities and the development of new features. The remaining $0.6 million increase was related to the recognition of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183" w:type="dxa"/>
        <w:jc w:val="left"/>
        <w:tblInd w:w="0" w:type="dxa"/>
        <w:tblLayout w:type="fixed"/>
        <w:tblCellMar>
          <w:top w:w="28" w:type="dxa"/>
          <w:left w:w="28" w:type="dxa"/>
          <w:bottom w:w="28" w:type="dxa"/>
          <w:right w:w="28" w:type="dxa"/>
        </w:tblCellMar>
      </w:tblPr>
      <w:tblGrid>
        <w:gridCol w:w="824"/>
        <w:gridCol w:w="726"/>
        <w:gridCol w:w="72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54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490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provision for income taxes was primarily driven by an increase in income before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2025 and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tbl>
      <w:tblPr>
        <w:tblW w:w="7004" w:type="dxa"/>
        <w:jc w:val="left"/>
        <w:tblInd w:w="0" w:type="dxa"/>
        <w:tblLayout w:type="fixed"/>
        <w:tblCellMar>
          <w:top w:w="28" w:type="dxa"/>
          <w:left w:w="28" w:type="dxa"/>
          <w:bottom w:w="28" w:type="dxa"/>
          <w:right w:w="28" w:type="dxa"/>
        </w:tblCellMar>
      </w:tblPr>
      <w:tblGrid>
        <w:gridCol w:w="461"/>
        <w:gridCol w:w="406"/>
        <w:gridCol w:w="408"/>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33"/>
        <w:gridCol w:w="233"/>
        <w:gridCol w:w="544"/>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5729" w:type="dxa"/>
            <w:gridSpan w:val="21"/>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57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was primarily driven by the growth of consumer product sales attributable to existing brand partners, as evidenced by our NRR of 129% for the period ended June 30, 2026. Revenue from Amazon marketplaces increased $433.6 million, or 41%, year-over-year and revenue not attributable to Amazon increase $78.4 million, or 104%, year-over-year. Collectively, international revenue increased $96.6 million, or 93%, year-over-year.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w:t>
      </w:r>
    </w:p>
    <w:tbl>
      <w:tblPr>
        <w:tblW w:w="7063" w:type="dxa"/>
        <w:jc w:val="left"/>
        <w:tblInd w:w="0" w:type="dxa"/>
        <w:tblLayout w:type="fixed"/>
        <w:tblCellMar>
          <w:top w:w="28" w:type="dxa"/>
          <w:left w:w="28" w:type="dxa"/>
          <w:bottom w:w="28" w:type="dxa"/>
          <w:right w:w="28" w:type="dxa"/>
        </w:tblCellMar>
      </w:tblPr>
      <w:tblGrid>
        <w:gridCol w:w="591"/>
        <w:gridCol w:w="520"/>
        <w:gridCol w:w="52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4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54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cost of goods sold was primarily driven by an increase in revenue of 45.0%. The increase in cost of goods sold was smaller than the increase in revenue on a percentage basis, primarily driven by product and brand mix.</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Operations, General and Administrative</w:t>
      </w:r>
    </w:p>
    <w:tbl>
      <w:tblPr>
        <w:tblW w:w="8684" w:type="dxa"/>
        <w:jc w:val="left"/>
        <w:tblInd w:w="0" w:type="dxa"/>
        <w:tblLayout w:type="fixed"/>
        <w:tblCellMar>
          <w:top w:w="28" w:type="dxa"/>
          <w:left w:w="28" w:type="dxa"/>
          <w:bottom w:w="28" w:type="dxa"/>
          <w:right w:w="28" w:type="dxa"/>
        </w:tblCellMar>
      </w:tblPr>
      <w:tblGrid>
        <w:gridCol w:w="1175"/>
        <w:gridCol w:w="1036"/>
        <w:gridCol w:w="104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44"/>
      </w:tblGrid>
      <w:tr>
        <w:trPr/>
        <w:tc>
          <w:tcPr>
            <w:tcW w:w="11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54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operations, general and administrative expenses was primarily driven by an increase of $80.1 million in fulfillment costs associated with the increase in consumer product sales and the recognition of $10.7 million of stock-based compensation expense. Depreciation and amortization expense increased $2.9 million primarily driven by business acquisitions and warehouse expansions. The remaining $13.3 million increase was primarily driven by an increase in corporate headcount and rent expense.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7078" w:type="dxa"/>
        <w:jc w:val="left"/>
        <w:tblInd w:w="0" w:type="dxa"/>
        <w:tblLayout w:type="fixed"/>
        <w:tblCellMar>
          <w:top w:w="28" w:type="dxa"/>
          <w:left w:w="28" w:type="dxa"/>
          <w:bottom w:w="28" w:type="dxa"/>
          <w:right w:w="28" w:type="dxa"/>
        </w:tblCellMar>
      </w:tblPr>
      <w:tblGrid>
        <w:gridCol w:w="634"/>
        <w:gridCol w:w="559"/>
        <w:gridCol w:w="56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532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expenses was primarily driven by an increase in marketplace commissions of $71.0 million, which grew generally in line with revenue on a percentage basis, and the recognition of $6.3 million of stock-based compensation expense. Partner marketing and advertising expenses increased $6.7 million year-over-year. The remaining $13.3 million increase was primarily driven by an increase in brand management, sales and marketing, advertising and creative headcount.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7423" w:type="dxa"/>
        <w:jc w:val="left"/>
        <w:tblInd w:w="0" w:type="dxa"/>
        <w:tblLayout w:type="fixed"/>
        <w:tblCellMar>
          <w:top w:w="28" w:type="dxa"/>
          <w:left w:w="28" w:type="dxa"/>
          <w:bottom w:w="28" w:type="dxa"/>
          <w:right w:w="28" w:type="dxa"/>
        </w:tblCellMar>
      </w:tblPr>
      <w:tblGrid>
        <w:gridCol w:w="835"/>
        <w:gridCol w:w="735"/>
        <w:gridCol w:w="73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54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5114" w:type="dxa"/>
            <w:gridSpan w:val="21"/>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costs was primarily driven by $10.4 million of investments in AI, technology, and headcount of software engineers, data scientists, and other technology professionals that support enhanced platform capabilities and the development of new features. The remaining $1.6 million million increase was related to the recognition of stock-based compensation expense.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288" w:type="dxa"/>
        <w:jc w:val="left"/>
        <w:tblInd w:w="0" w:type="dxa"/>
        <w:tblLayout w:type="fixed"/>
        <w:tblCellMar>
          <w:top w:w="28" w:type="dxa"/>
          <w:left w:w="28" w:type="dxa"/>
          <w:bottom w:w="28" w:type="dxa"/>
          <w:right w:w="28" w:type="dxa"/>
        </w:tblCellMar>
      </w:tblPr>
      <w:tblGrid>
        <w:gridCol w:w="824"/>
        <w:gridCol w:w="726"/>
        <w:gridCol w:w="72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54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500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provision for income taxes was primarily driven by an increase in income before taxes. The higher effective tax rate in 2026 compared to the U.S. federal statutory rate was primarily driven by limitations on the deductibility of stock-based compensation and the impact of loss entities for which no tax benefit is available due to valuation allowances.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are cash and cash equivalents. At June 30, 2026, we had cash and cash equivalents of $345.8 million. We also have access to external sources of liquidity through our revolving credit facility as further described within “Credit Facility” below.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cash from operations and availability under our revolving credit facility will be sufficient to fund our working capital, capital expenditure requirements and contractual obligations for at least the next twelve months. Our opinions concerning liquidity are based on currently available information. To the extent our liquidity assumptions prove to be inaccurate, or if circumstances change, future availability of credit or other sources of financing may be reduced and our liquidity could be adversely affected. In addition, we may choose to raise additional funds at any time through equity or debt financing arrangements, which may or may not be needed for additional working capital, capital expenditures or other strategic investments. Our future capital requirements and the adequacy of available funds will depend on many factors, including those described in the section titled “Risk Factors” included elsewhere in this Quarterly Report on Form 10-Q together with the risks and uncertainties previously disclosed in the section titled “Risk Factors” of the Annual Report on Form 10-K. Depending on the severity and direct impact of these factors on us, we may be unable to secure additional financing to meet our operating requirements on terms favorable to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Historical 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cash flow information for the periods presented:</w:t>
      </w:r>
    </w:p>
    <w:tbl>
      <w:tblPr>
        <w:tblW w:w="6395" w:type="dxa"/>
        <w:jc w:val="left"/>
        <w:tblInd w:w="0" w:type="dxa"/>
        <w:tblLayout w:type="fixed"/>
        <w:tblCellMar>
          <w:top w:w="28" w:type="dxa"/>
          <w:left w:w="28" w:type="dxa"/>
          <w:bottom w:w="28" w:type="dxa"/>
          <w:right w:w="28" w:type="dxa"/>
        </w:tblCellMar>
      </w:tblPr>
      <w:tblGrid>
        <w:gridCol w:w="1253"/>
        <w:gridCol w:w="1104"/>
        <w:gridCol w:w="1107"/>
        <w:gridCol w:w="109"/>
        <w:gridCol w:w="109"/>
        <w:gridCol w:w="109"/>
        <w:gridCol w:w="211"/>
        <w:gridCol w:w="796"/>
        <w:gridCol w:w="109"/>
        <w:gridCol w:w="109"/>
        <w:gridCol w:w="109"/>
        <w:gridCol w:w="109"/>
        <w:gridCol w:w="211"/>
        <w:gridCol w:w="79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7"/>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$87.3 million for the six months ended June 30, 2026, which primarily consisted of $56.7 million of net income, $36.9 million of non-cash adjustments, such as stock-based compensation, depreciation and amortization expense, and deferred income taxes, and a cash decrease of $6.3 million from the management of working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$50.4 million for the six months ended June 30, 2025, which primarily consisted of $46.6 million of net income, $9.7 million of non-cash adjustments, such as depreciation and amortization expense, and a cash decrease of $5.8 million from the management of working capital.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$20.2 million for the six months ended June 30, 2026, primarily related to capital expenditures for our internally developed software and investments in machinery, warehouse automation and leasehold improvements related to our warehouses and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$10.6 million for the six months ended June 30, 2025, primarily related to capital expenditures for our internally developed software and investments in machinery and leasehold improvements related to our North Las Vegas warehouse and other warehouse automation.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$10.5 million for the six months ended June 30, 2026, primarily related to the payment of $8.1 million for taxes withheld upon the vesting of RSUs and $3.7 million of Series A common stock repurchases. Additionally, we received $1.3 million in proceeds from our employee stock purchase plan.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zero for the six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2026, we were party to a revolving credit facility with JPMorgan Chase Bank, N.A. and other lenders pursuant to the Credit Agreement dated September 4, 2025 (the “Credit Facility”). The Credit Facility provides for non-amortizing revolving loans in the aggregate principal amount of up to $150 million, with the option to increase the aggregate principal amount up to </w:t>
      </w:r>
      <w:r>
        <w:rPr>
          <w:rFonts w:ascii="Times New Roman;serif" w:hAnsi="Times New Roman;serif"/>
          <w:b w:val="false"/>
          <w:color w:val="000000"/>
          <w:sz w:val="20"/>
          <w:shd w:fill="FFFFFF" w:val="clear"/>
        </w:rPr>
        <w:t>$250 million under certain conditions subject to lender approval. The Credit Facility matures in September 2030. The revolving line of credit bears interest at a variable base rate plus an applicable margin ranging from 0.50% to 2.00%. We are required to pay commitment fees on the unused portion that range from 0.20% to 0.25% per annum. Our obligations under the Credit Facility are guaranteed by certain of our subsidiaries and are secured by a first priority lien on substantially all of our tangible and intangible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maintain compliance as of the end of each calendar quarter with the following financial covenants: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consolidated fixed charge coverage ratio on a trailing 12-month basis of no less than 1.25 to 1.00;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consolidated net leverage ratio on a trailing 12-month basis not greater than 4.00 to 1.00.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no outstanding borrowings under the Credit Facility and we had a $150 million borrowing capacity under the Credit Facility. As of June 30, 2026, we were in compliance with the related financial covenants under the Credit Facility. For additional information, see Note 6—Credit Facilities, in the section titled “Notes to Condensed Consolidated Financial Statements” included elsewhere in this Quarterly Report on Form 10-Q.</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contractual obligations and other commitments that will need to be funded in the future, in addition to our working capital, capital expenditures and other strategic initiatives. Material contractual obligations relate to operating lease obligations for corporate offices and warehouses.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to the contractual obligations or commitments from those described under "Management's Discussion and Analysis of Financial Condition and Results of Operations" included in the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which have been prepared in accordance with U.S. GAAP. The preparation of our consolidated financial statements and related disclosures requires us to make estimates, assumptions and judgments that affect the reported amounts of assets, liabilities, revenue, costs and expenses and related disclosures. We believe that the estimates, assumptions and judgments involved in the accounting policies described below involve a significant level of estimation uncertainty and have the greatest potential impact on our financial condition and results of operations and, therefore, we consider these to be our critical accounting policies. Accordingly, we evaluate our estimates, assumptions and judgments on an ongoing basis. Our actual results may differ from these estimates under different assumptions, judgments and conditions. Refer to "Management's Discussion and Analysis of Financial Condition and Results of Operations" included in the Annual Report on Form 10-K for further information on our critical accounting estimates and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regarding recent accounting pronouncements is included in Note 2—Summary of Significant Accounting Policies, in the Notes to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operations both within the United States and internationally, and we are exposed to market risks in the ordinary course of our business, including the effects of foreign currency fluctuations, interest rate changes and inflation. Information relating to quantitative and qualitative disclosures about these market risks is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majority of our sales are denominated in the prevailing currencies of the countries in which we operate. Additionally, our operating expenses are largely denominated in the currencies of the countries in which our operations are located or in which revenue is generated. Therefore, our operations are not currently subject to significant foreign currency risk on a regional basis. However, as our international business has grown, we have faced corresponding exposure to adverse movements in foreign currency exchange rates, as the financial results of our international operations are translated from local currency, or functional currency, into U.S. dollars upon consolidation. Fluctuations in foreign currency exchange rates may cause us to recognize transaction gains and losses in our condensed consolidated statements of operations. To date, foreign currency transaction gains and losses have not been material to our financial statements, and we have not engaged in any foreign currency hedging transactions, but we may consider doing so in the future as our international operations grow. The effect of foreign currency exchange on our business historically has varied from quarter to quarter and may continue to do so, potentially materially. In addition, global economic conditions may result in changes in exchange rates, and in particular a weakening of foreign currencies relative to the U.S. dollar may negatively affect our revenue as expressed in U.S. dollars.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equivalents consist primarily of money market accounts and have an original maturity date of 90 days or less. The fair value of our cash and cash equivalents would not be significantly affected by either an increase or decrease in interest rates due mainly to the short-term nature of these instruments. Any future borrowings incurred under our revolving credit facility will accrue interest at a floating rate based on a formula tied to certain market rates at the time of incurrence. A 10% increase or decrease in interest rates would not have a material effect on our interest income or expense.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impact of inflation in order to minimize its effects through pricing strategies, productivity improvements and cost reductions. If our costs were to be subject to more significant inflationary pressures, we are generally able to offset such higher costs through price increases or other cost efficiency measures.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has conducted an evaluation of the effectiveness of our disclosure controls and procedures (as defined in Rules 13a-15(e) and 15d-15(e) under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 Based on this evaluation, our chief executive officer and chief financial officer concluded that our disclosure controls and procedures were effective at a reasonable assurance level as of such date.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controls over financial reporting that occurred during the quarter ended June 30, 2026 that have materially affected, or are reasonably likely to materially affect, our internal control over financial reporting.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regarding legal proceedings is included in Note 10—Commitments and Contingencies, in the Notes to Condensed Consolidated Financial Statements included elsewhere in this Quarterly Report on Form 10-Q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Except as set forth below, there have been no material changes to the risk factors previously disclosed in our Annual Report on Form 10-K. The following risk factor is new and should be considered in addition to those previously disclosed: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Stock repurchases could also increase the volatility of our stock and could diminish our 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authorized a share repurchase program on March 2, 2026, allowing us to purchase up to $100 million in shares of our Series A common stock. The program does not obligate us to repurchase any specific dollar amount or to acquire any specific number of shares of our Series A common stock on any particular timetable, and may be suspended, modified, or terminated at any time, without prior notice. We cannot guarantee that the program will be fully consummated or that it will enhance long-term stockholder value. Further, stock repurchases could affect the market price of our Series A common stock or increase its volatility and decrease our cash balances and/or our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2, 2026, the board of directors of the Company authorized a share repurchase program (the “Share Repurchase Program”), pursuant to which we may repurchase up to $100 million in the aggregate of our issued and outstanding shares of Series A common stock by means of open market transactions, privately negotiated transactions or other means, including pursuant to Rule 10b5-1 plans. Our Share Repurchase Program does not have a time limit. The timing and number of shares repurchased under the Share Repurchase Program will depend on a variety of factors, including stock price, trading volume, and general business and market conditions. The Share Repurchase Program does not obligate us to acquire a specified number of shares, and may be suspended, modified, or terminated at any time, without prior notice. Repurchases under the Share Repurchase Program are expected to be funded from a combination of existing cash balances and future cash flow.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purchases of Series A common stock under the Share Repurchase Program during the three months ended June 30, 2026:</w:t>
      </w:r>
    </w:p>
    <w:tbl>
      <w:tblPr>
        <w:tblW w:w="10205" w:type="dxa"/>
        <w:jc w:val="left"/>
        <w:tblInd w:w="0" w:type="dxa"/>
        <w:tblLayout w:type="fixed"/>
        <w:tblCellMar>
          <w:top w:w="28" w:type="dxa"/>
          <w:left w:w="28" w:type="dxa"/>
          <w:bottom w:w="28" w:type="dxa"/>
          <w:right w:w="28" w:type="dxa"/>
        </w:tblCellMar>
      </w:tblPr>
      <w:tblGrid>
        <w:gridCol w:w="490"/>
        <w:gridCol w:w="431"/>
        <w:gridCol w:w="438"/>
        <w:gridCol w:w="474"/>
        <w:gridCol w:w="440"/>
        <w:gridCol w:w="441"/>
        <w:gridCol w:w="109"/>
        <w:gridCol w:w="109"/>
        <w:gridCol w:w="109"/>
        <w:gridCol w:w="289"/>
        <w:gridCol w:w="844"/>
        <w:gridCol w:w="149"/>
        <w:gridCol w:w="109"/>
        <w:gridCol w:w="109"/>
        <w:gridCol w:w="109"/>
        <w:gridCol w:w="777"/>
        <w:gridCol w:w="772"/>
        <w:gridCol w:w="775"/>
        <w:gridCol w:w="109"/>
        <w:gridCol w:w="109"/>
        <w:gridCol w:w="109"/>
        <w:gridCol w:w="1289"/>
        <w:gridCol w:w="665"/>
        <w:gridCol w:w="950"/>
      </w:tblGrid>
      <w:tr>
        <w:trPr/>
        <w:tc>
          <w:tcPr>
            <w:tcW w:w="49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(in millions)</w:t>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Trading Plans of Directors or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terminated or modified the amount, pricing or provisions in a “Rule 10b5-1 trading arrangement” or a “non-Rule 10b5-1 trading agreement”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tbl>
      <w:tblPr>
        <w:tblW w:w="10205" w:type="dxa"/>
        <w:jc w:val="left"/>
        <w:tblInd w:w="0" w:type="dxa"/>
        <w:tblLayout w:type="fixed"/>
        <w:tblCellMar>
          <w:top w:w="28" w:type="dxa"/>
          <w:left w:w="28" w:type="dxa"/>
          <w:bottom w:w="28" w:type="dxa"/>
          <w:right w:w="28" w:type="dxa"/>
        </w:tblCellMar>
      </w:tblPr>
      <w:tblGrid>
        <w:gridCol w:w="300"/>
        <w:gridCol w:w="264"/>
        <w:gridCol w:w="266"/>
        <w:gridCol w:w="109"/>
        <w:gridCol w:w="109"/>
        <w:gridCol w:w="109"/>
        <w:gridCol w:w="1360"/>
        <w:gridCol w:w="1231"/>
        <w:gridCol w:w="1243"/>
        <w:gridCol w:w="109"/>
        <w:gridCol w:w="109"/>
        <w:gridCol w:w="109"/>
        <w:gridCol w:w="174"/>
        <w:gridCol w:w="174"/>
        <w:gridCol w:w="175"/>
        <w:gridCol w:w="109"/>
        <w:gridCol w:w="109"/>
        <w:gridCol w:w="109"/>
        <w:gridCol w:w="337"/>
        <w:gridCol w:w="256"/>
        <w:gridCol w:w="224"/>
        <w:gridCol w:w="109"/>
        <w:gridCol w:w="109"/>
        <w:gridCol w:w="109"/>
        <w:gridCol w:w="231"/>
        <w:gridCol w:w="231"/>
        <w:gridCol w:w="233"/>
        <w:gridCol w:w="109"/>
        <w:gridCol w:w="109"/>
        <w:gridCol w:w="109"/>
        <w:gridCol w:w="206"/>
        <w:gridCol w:w="206"/>
        <w:gridCol w:w="208"/>
        <w:gridCol w:w="109"/>
        <w:gridCol w:w="109"/>
        <w:gridCol w:w="109"/>
        <w:gridCol w:w="268"/>
        <w:gridCol w:w="268"/>
        <w:gridCol w:w="388"/>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r>
      <w:tr>
        <w:trPr/>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Certificate of Incorporation of Pattern Group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001-42852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of Pattern Group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001-42852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 xml:space="preserve">Form of Series A common stock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Amended and Restated Investors’ Rights Agreement, dated September 28, 2021, by and among the Registrant and certain of its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60630xexx311.htm">
              <w:r>
                <w:rPr>
                  <w:rStyle w:val="InternetLink"/>
                  <w:rFonts w:ascii="Times New Roman;serif" w:hAnsi="Times New Roman;serif"/>
                  <w:b w:val="false"/>
                  <w:color w:val="0000FF"/>
                  <w:sz w:val="20"/>
                  <w:u w:val="single"/>
                </w:rPr>
                <w:t>Certification of Principal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60630xexx312.htm">
              <w:r>
                <w:rPr>
                  <w:rStyle w:val="InternetLink"/>
                  <w:rFonts w:ascii="Times New Roman;serif" w:hAnsi="Times New Roman;serif"/>
                  <w:b w:val="false"/>
                  <w:color w:val="0000FF"/>
                  <w:sz w:val="20"/>
                  <w:u w:val="single"/>
                </w:rPr>
                <w:t>Certification of Principal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60630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60630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38621c3ba08476fb3ab15e4ea94b547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7"/>
        <w:gridCol w:w="236"/>
        <w:gridCol w:w="237"/>
        <w:gridCol w:w="109"/>
        <w:gridCol w:w="109"/>
        <w:gridCol w:w="109"/>
        <w:gridCol w:w="1510"/>
        <w:gridCol w:w="1510"/>
        <w:gridCol w:w="1523"/>
        <w:gridCol w:w="109"/>
        <w:gridCol w:w="109"/>
        <w:gridCol w:w="109"/>
        <w:gridCol w:w="170"/>
        <w:gridCol w:w="170"/>
        <w:gridCol w:w="171"/>
        <w:gridCol w:w="109"/>
        <w:gridCol w:w="109"/>
        <w:gridCol w:w="109"/>
        <w:gridCol w:w="131"/>
        <w:gridCol w:w="131"/>
        <w:gridCol w:w="132"/>
        <w:gridCol w:w="109"/>
        <w:gridCol w:w="109"/>
        <w:gridCol w:w="109"/>
        <w:gridCol w:w="216"/>
        <w:gridCol w:w="216"/>
        <w:gridCol w:w="217"/>
        <w:gridCol w:w="109"/>
        <w:gridCol w:w="109"/>
        <w:gridCol w:w="109"/>
        <w:gridCol w:w="183"/>
        <w:gridCol w:w="183"/>
        <w:gridCol w:w="184"/>
        <w:gridCol w:w="109"/>
        <w:gridCol w:w="109"/>
        <w:gridCol w:w="109"/>
        <w:gridCol w:w="249"/>
        <w:gridCol w:w="249"/>
        <w:gridCol w:w="358"/>
      </w:tblGrid>
      <w:tr>
        <w:trPr/>
        <w:tc>
          <w:tcPr>
            <w:tcW w:w="2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r>
      <w:tr>
        <w:trPr/>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Pattern Group Inc.'s Quarterly Report on Form 10-Q for the quarter ended June 30, 2026 formatted in Inline XBRL (Extensible Business Reporting Language) includes: (i) the Condensed Consolidated Statements of Operations, (ii) the Condensed Consolidated Statements of Comprehensive Income, (iii) the Condensed Consolidated Statements of Cash Flows, (iv) the Condensed Consolidated Balance Sheets, (v) the Condensed Consolidated Statements of Changes in Convertible Preferred Stock and Stockholders’ Equity, and (vi) Notes to the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 certifications attached as Exhibits 32.1 and 32.2 that accompany this Quarterly Report on Form 10-Q are deemed “furnished” and not “filed” for purposes of Section 18 of the Exchange Act. Such certifications will not be deemed to be incorporated by reference into any filings under the Securities Act of 1933, as amended, or the Exchange Act, except to the extent specifically incorporated by reference into such filing.</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d38621c3ba08476fb3ab15e4ea94b547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561" w:type="dxa"/>
        <w:jc w:val="left"/>
        <w:tblInd w:w="0" w:type="dxa"/>
        <w:tblLayout w:type="fixed"/>
        <w:tblCellMar>
          <w:top w:w="28" w:type="dxa"/>
          <w:left w:w="28" w:type="dxa"/>
          <w:bottom w:w="28" w:type="dxa"/>
          <w:right w:w="28" w:type="dxa"/>
        </w:tblCellMar>
      </w:tblPr>
      <w:tblGrid>
        <w:gridCol w:w="667"/>
        <w:gridCol w:w="587"/>
        <w:gridCol w:w="590"/>
        <w:gridCol w:w="349"/>
        <w:gridCol w:w="349"/>
        <w:gridCol w:w="349"/>
        <w:gridCol w:w="1649"/>
        <w:gridCol w:w="1649"/>
        <w:gridCol w:w="237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PATTERN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Wright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Beesley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Beesley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r>
    </w:tbl>
    <w:p>
      <w:pPr>
        <w:pStyle w:val="TextBody"/>
        <w:bidi w:val="0"/>
        <w:spacing w:before="0" w:after="18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 RULE 13A-14(A)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David Wright,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Pattern Group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2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601"/>
        <w:gridCol w:w="601"/>
        <w:gridCol w:w="8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Wright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 RULE 13A-14(A)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Jason Beesley,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Pattern Group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4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606"/>
        <w:gridCol w:w="606"/>
        <w:gridCol w:w="85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Beesley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Beesley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Pattern Group Inc. (the “Company”) for the period ended June 30, 2026, as filed with the Securities and Exchange Commission on the date hereof (the “Report”), I, David Wright, Chief Executive Officer of the Company, certify, pursuant to 18 U.S.C. Section 1350, as adopted pursuant to Section 906 of the Sarbanes-Oxley Act of 2002, that to my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2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601"/>
        <w:gridCol w:w="601"/>
        <w:gridCol w:w="8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Wright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This certification is being furnished pursuant to Section 906 of the Sarbanes-Oxley Act of 2002 and shall not be deemed “filed” for purposes of Section 18 of the Securities Exchange Act of 1934, as amended, or otherwise subject to the liability of that section. This certification will not be deemed to be incorporated by reference into any filing under the Securities Act of 1933, as amended, or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Pattern Group Inc. (the “Company”) for the period ended June 30, 2026, as filed with the Securities and Exchange Commission on the date hereof (the “Report”), I, Jason Beesley, Chief Financial Officer of the Company, certify, pursuant to 18 U.S.C. Section 1350, as adopted pursuant to Section 906 of the Sarbanes-Oxley Act of 2002, that to my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4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606"/>
        <w:gridCol w:w="606"/>
        <w:gridCol w:w="85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Beesley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Beesley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This certification is being furnished pursuant to Section 906 of the Sarbanes-Oxley Act of 2002 and shall not be deemed “filed” for purposes of Section 18 of the Securities Exchange Act of 1934, as amended, or otherwise subject to the liability of that section. This certification will not be deemed to be incorporated by reference into any filing under the Securities Act of 1933, as amended, or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1935/000162828025042520/exhibit31-8xk.htm" TargetMode="External"/><Relationship Id="rId4" Type="http://schemas.openxmlformats.org/officeDocument/2006/relationships/hyperlink" Target="https://www.sec.gov/Archives/edgar/data/1811935/000162828025042520/exhibit32-8xk.htm" TargetMode="External"/><Relationship Id="rId5" Type="http://schemas.openxmlformats.org/officeDocument/2006/relationships/hyperlink" Target="https://www.sec.gov/Archives/edgar/data/1811935/000181193525000009/exhibit41-sx1a1.htm" TargetMode="External"/><Relationship Id="rId6" Type="http://schemas.openxmlformats.org/officeDocument/2006/relationships/hyperlink" Target="https://www.sec.gov/Archives/edgar/data/1811935/000162828025041036/exhibit42-sx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14465</Words>
  <Characters>82225</Characters>
  <CharactersWithSpaces>95399</CharactersWithSpaces>
  <Paragraphs>2215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