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60" w:after="18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60" w:after="18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001-42852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Pattern Group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6371" w:type="dxa"/>
        <w:jc w:val="left"/>
        <w:tblInd w:w="0" w:type="dxa"/>
        <w:tblLayout w:type="fixed"/>
        <w:tblCellMar>
          <w:top w:w="28" w:type="dxa"/>
          <w:left w:w="28" w:type="dxa"/>
          <w:bottom w:w="28" w:type="dxa"/>
          <w:right w:w="28" w:type="dxa"/>
        </w:tblCellMar>
      </w:tblPr>
      <w:tblGrid>
        <w:gridCol w:w="1193"/>
        <w:gridCol w:w="1046"/>
        <w:gridCol w:w="1061"/>
        <w:gridCol w:w="109"/>
        <w:gridCol w:w="109"/>
        <w:gridCol w:w="109"/>
        <w:gridCol w:w="801"/>
        <w:gridCol w:w="801"/>
        <w:gridCol w:w="1142"/>
      </w:tblGrid>
      <w:tr>
        <w:trPr/>
        <w:tc>
          <w:tcPr>
            <w:tcW w:w="119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83-2556861</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1441 West Innovation Way, Suite 500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Lehi, 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84043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765-1355</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99"/>
        <w:gridCol w:w="1310"/>
        <w:gridCol w:w="1325"/>
        <w:gridCol w:w="109"/>
        <w:gridCol w:w="109"/>
        <w:gridCol w:w="109"/>
        <w:gridCol w:w="555"/>
        <w:gridCol w:w="555"/>
        <w:gridCol w:w="557"/>
        <w:gridCol w:w="109"/>
        <w:gridCol w:w="109"/>
        <w:gridCol w:w="109"/>
        <w:gridCol w:w="1095"/>
        <w:gridCol w:w="1095"/>
        <w:gridCol w:w="1560"/>
      </w:tblGrid>
      <w:tr>
        <w:trPr/>
        <w:tc>
          <w:tcPr>
            <w:tcW w:w="149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PTRN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80"/>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if the registrant is not required to file reports pursuant to Section 13 or Section 15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18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18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voting and non-voting common equity held by non-affiliates of the registrant on December 31, 2025, based on the closing price of $11.54 per share of the registrant’s Series A common stock as reported by Nasdaq Global Select Market on December 31, 2025, was approximately $550 million. The registrant has elected to use December 31, 2025 as the calculation date, which was the last business day of the registrant’s most recently completed fiscal year, because on June 30, 2025 (the last day of the registrant’s second fiscal quarter), the registrant was a privately-held company. Solely for purposes of this disclosure, shares of the registrant’s common stock held by each executive officer and director and by each other person who may be deemed to be an affiliate of the registrant have been excluded from this computation. This determination of affiliate status is not necessarily a conclusive determination for other purposes.</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The registrant had outstanding 155,248,477 shares of Series A common stock, par value $0.001 per share, and 21,702,510 shares of Series B common stock, par value $0.001 per share, as of March 2, 2026.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Portions of the registrant’s definitive Proxy Statement relating to its 2026 Annual Meeting of Stockholders are incorporated by reference in Part III of this Annual Report on Form 10-K where indicated. Such Proxy Statement will be filed with the U.S. Securities and Exchange Commission within 120 days after the end of the fiscal year to which this report relates.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9"/>
        <w:gridCol w:w="635"/>
        <w:gridCol w:w="635"/>
        <w:gridCol w:w="2610"/>
        <w:gridCol w:w="2503"/>
        <w:gridCol w:w="2550"/>
        <w:gridCol w:w="149"/>
        <w:gridCol w:w="149"/>
        <w:gridCol w:w="215"/>
      </w:tblGrid>
      <w:tr>
        <w:trPr/>
        <w:tc>
          <w:tcPr>
            <w:tcW w:w="7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fcce30a0c014b699b6ea540c13ef329_10">
              <w:r>
                <w:rPr>
                  <w:rStyle w:val="InternetLink"/>
                  <w:rFonts w:ascii="Times New Roman;serif" w:hAnsi="Times New Roman;serif"/>
                  <w:b w:val="false"/>
                  <w:color w:val="0000FF"/>
                  <w:sz w:val="20"/>
                  <w:u w:val="single"/>
                </w:rPr>
                <w:t>Special Note Regarding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0">
              <w:r>
                <w:rPr>
                  <w:rStyle w:val="InternetLink"/>
                  <w:rFonts w:ascii="Times New Roman;serif" w:hAnsi="Times New Roman;serif"/>
                  <w:b w:val="false"/>
                  <w:strike w:val="false"/>
                  <w:dstrike w:val="false"/>
                  <w:color w:val="000000"/>
                  <w:sz w:val="20"/>
                  <w:u w:val="none"/>
                  <w:effect w:val="none"/>
                </w:rPr>
                <w:t>1</w:t>
              </w:r>
            </w:hyperlink>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09">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09">
              <w:r>
                <w:rPr>
                  <w:rStyle w:val="InternetLink"/>
                  <w:rFonts w:ascii="Times New Roman;serif" w:hAnsi="Times New Roman;serif"/>
                  <w:b w:val="false"/>
                  <w:strike w:val="false"/>
                  <w:dstrike w:val="false"/>
                  <w:color w:val="000000"/>
                  <w:sz w:val="20"/>
                  <w:u w:val="none"/>
                  <w:effect w:val="none"/>
                </w:rPr>
                <w:t>3</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62">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62">
              <w:r>
                <w:rPr>
                  <w:rStyle w:val="InternetLink"/>
                  <w:rFonts w:ascii="Times New Roman;serif" w:hAnsi="Times New Roman;serif"/>
                  <w:b w:val="false"/>
                  <w:strike w:val="false"/>
                  <w:dstrike w:val="false"/>
                  <w:color w:val="000000"/>
                  <w:sz w:val="20"/>
                  <w:u w:val="none"/>
                  <w:effect w:val="none"/>
                </w:rPr>
                <w:t>13</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43">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43">
              <w:r>
                <w:rPr>
                  <w:rStyle w:val="InternetLink"/>
                  <w:rFonts w:ascii="Times New Roman;serif" w:hAnsi="Times New Roman;serif"/>
                  <w:b w:val="false"/>
                  <w:strike w:val="false"/>
                  <w:dstrike w:val="false"/>
                  <w:color w:val="000000"/>
                  <w:sz w:val="20"/>
                  <w:u w:val="none"/>
                  <w:effect w:val="none"/>
                </w:rPr>
                <w:t>46</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50">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50">
              <w:r>
                <w:rPr>
                  <w:rStyle w:val="InternetLink"/>
                  <w:rFonts w:ascii="Times New Roman;serif" w:hAnsi="Times New Roman;serif"/>
                  <w:b w:val="false"/>
                  <w:strike w:val="false"/>
                  <w:dstrike w:val="false"/>
                  <w:color w:val="000000"/>
                  <w:sz w:val="20"/>
                  <w:u w:val="none"/>
                  <w:effect w:val="none"/>
                </w:rPr>
                <w:t>46</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57">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57">
              <w:r>
                <w:rPr>
                  <w:rStyle w:val="InternetLink"/>
                  <w:rFonts w:ascii="Times New Roman;serif" w:hAnsi="Times New Roman;serif"/>
                  <w:b w:val="false"/>
                  <w:strike w:val="false"/>
                  <w:dstrike w:val="false"/>
                  <w:color w:val="000000"/>
                  <w:sz w:val="20"/>
                  <w:u w:val="none"/>
                  <w:effect w:val="none"/>
                </w:rPr>
                <w:t>47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21">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21">
              <w:r>
                <w:rPr>
                  <w:rStyle w:val="InternetLink"/>
                  <w:rFonts w:ascii="Times New Roman;serif" w:hAnsi="Times New Roman;serif"/>
                  <w:b w:val="false"/>
                  <w:strike w:val="false"/>
                  <w:dstrike w:val="false"/>
                  <w:color w:val="000000"/>
                  <w:sz w:val="20"/>
                  <w:u w:val="none"/>
                  <w:effect w:val="none"/>
                </w:rPr>
                <w:t>47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33">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33">
              <w:r>
                <w:rPr>
                  <w:rStyle w:val="InternetLink"/>
                  <w:rFonts w:ascii="Times New Roman;serif" w:hAnsi="Times New Roman;serif"/>
                  <w:b w:val="false"/>
                  <w:strike w:val="false"/>
                  <w:dstrike w:val="false"/>
                  <w:color w:val="000000"/>
                  <w:sz w:val="20"/>
                  <w:u w:val="none"/>
                  <w:effect w:val="none"/>
                </w:rPr>
                <w:t>47</w:t>
              </w:r>
            </w:hyperlink>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7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75">
              <w:r>
                <w:rPr>
                  <w:rStyle w:val="InternetLink"/>
                  <w:rFonts w:ascii="Times New Roman;serif" w:hAnsi="Times New Roman;serif"/>
                  <w:b w:val="false"/>
                  <w:strike w:val="false"/>
                  <w:dstrike w:val="false"/>
                  <w:color w:val="000000"/>
                  <w:sz w:val="20"/>
                  <w:u w:val="none"/>
                  <w:effect w:val="none"/>
                </w:rPr>
                <w:t>48</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679">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679">
              <w:r>
                <w:rPr>
                  <w:rStyle w:val="InternetLink"/>
                  <w:rFonts w:ascii="Times New Roman;serif" w:hAnsi="Times New Roman;serif"/>
                  <w:b w:val="false"/>
                  <w:strike w:val="false"/>
                  <w:dstrike w:val="false"/>
                  <w:color w:val="000000"/>
                  <w:sz w:val="20"/>
                  <w:u w:val="none"/>
                  <w:effect w:val="none"/>
                </w:rPr>
                <w:t>49</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2">
              <w:r>
                <w:rPr>
                  <w:rStyle w:val="InternetLink"/>
                  <w:rFonts w:ascii="Times New Roman;serif" w:hAnsi="Times New Roman;serif"/>
                  <w:b w:val="false"/>
                  <w:strike w:val="false"/>
                  <w:dstrike w:val="false"/>
                  <w:color w:val="000000"/>
                  <w:sz w:val="20"/>
                  <w:u w:val="none"/>
                  <w:effect w:val="none"/>
                </w:rPr>
                <w:t>50</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12">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12">
              <w:r>
                <w:rPr>
                  <w:rStyle w:val="InternetLink"/>
                  <w:rFonts w:ascii="Times New Roman;serif" w:hAnsi="Times New Roman;serif"/>
                  <w:b w:val="false"/>
                  <w:strike w:val="false"/>
                  <w:dstrike w:val="false"/>
                  <w:color w:val="000000"/>
                  <w:sz w:val="20"/>
                  <w:u w:val="none"/>
                  <w:effect w:val="none"/>
                </w:rPr>
                <w:t>61</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3">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3">
              <w:r>
                <w:rPr>
                  <w:rStyle w:val="InternetLink"/>
                  <w:rFonts w:ascii="Times New Roman;serif" w:hAnsi="Times New Roman;serif"/>
                  <w:b w:val="false"/>
                  <w:strike w:val="false"/>
                  <w:dstrike w:val="false"/>
                  <w:color w:val="000000"/>
                  <w:sz w:val="20"/>
                  <w:u w:val="none"/>
                  <w:effect w:val="none"/>
                </w:rPr>
                <w:t>63</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78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782">
              <w:r>
                <w:rPr>
                  <w:rStyle w:val="InternetLink"/>
                  <w:rFonts w:ascii="Times New Roman;serif" w:hAnsi="Times New Roman;serif"/>
                  <w:b w:val="false"/>
                  <w:strike w:val="false"/>
                  <w:dstrike w:val="false"/>
                  <w:color w:val="000000"/>
                  <w:sz w:val="20"/>
                  <w:u w:val="none"/>
                  <w:effect w:val="none"/>
                </w:rPr>
                <w:t>85</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15">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15">
              <w:r>
                <w:rPr>
                  <w:rStyle w:val="InternetLink"/>
                  <w:rFonts w:ascii="Times New Roman;serif" w:hAnsi="Times New Roman;serif"/>
                  <w:b w:val="false"/>
                  <w:strike w:val="false"/>
                  <w:dstrike w:val="false"/>
                  <w:color w:val="000000"/>
                  <w:sz w:val="20"/>
                  <w:u w:val="none"/>
                  <w:effect w:val="none"/>
                </w:rPr>
                <w:t>85</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36">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36">
              <w:r>
                <w:rPr>
                  <w:rStyle w:val="InternetLink"/>
                  <w:rFonts w:ascii="Times New Roman;serif" w:hAnsi="Times New Roman;serif"/>
                  <w:b w:val="false"/>
                  <w:strike w:val="false"/>
                  <w:dstrike w:val="false"/>
                  <w:color w:val="000000"/>
                  <w:sz w:val="20"/>
                  <w:u w:val="none"/>
                  <w:effect w:val="none"/>
                </w:rPr>
                <w:t>86</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791">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791">
              <w:r>
                <w:rPr>
                  <w:rStyle w:val="InternetLink"/>
                  <w:rFonts w:ascii="Times New Roman;serif" w:hAnsi="Times New Roman;serif"/>
                  <w:b w:val="false"/>
                  <w:strike w:val="false"/>
                  <w:dstrike w:val="false"/>
                  <w:color w:val="000000"/>
                  <w:sz w:val="20"/>
                  <w:u w:val="none"/>
                  <w:effect w:val="none"/>
                </w:rPr>
                <w:t>86</w:t>
              </w:r>
            </w:hyperlink>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16">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16">
              <w:r>
                <w:rPr>
                  <w:rStyle w:val="InternetLink"/>
                  <w:rFonts w:ascii="Times New Roman;serif" w:hAnsi="Times New Roman;serif"/>
                  <w:b w:val="false"/>
                  <w:strike w:val="false"/>
                  <w:dstrike w:val="false"/>
                  <w:color w:val="000000"/>
                  <w:sz w:val="20"/>
                  <w:u w:val="none"/>
                  <w:effect w:val="none"/>
                </w:rPr>
                <w:t>87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20">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20">
              <w:r>
                <w:rPr>
                  <w:rStyle w:val="InternetLink"/>
                  <w:rFonts w:ascii="Times New Roman;serif" w:hAnsi="Times New Roman;serif"/>
                  <w:b w:val="false"/>
                  <w:strike w:val="false"/>
                  <w:dstrike w:val="false"/>
                  <w:color w:val="000000"/>
                  <w:sz w:val="20"/>
                  <w:u w:val="none"/>
                  <w:effect w:val="none"/>
                </w:rPr>
                <w:t>87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2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27">
              <w:r>
                <w:rPr>
                  <w:rStyle w:val="InternetLink"/>
                  <w:rFonts w:ascii="Times New Roman;serif" w:hAnsi="Times New Roman;serif"/>
                  <w:b w:val="false"/>
                  <w:strike w:val="false"/>
                  <w:dstrike w:val="false"/>
                  <w:color w:val="000000"/>
                  <w:sz w:val="20"/>
                  <w:u w:val="none"/>
                  <w:effect w:val="none"/>
                </w:rPr>
                <w:t>87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31">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31">
              <w:r>
                <w:rPr>
                  <w:rStyle w:val="InternetLink"/>
                  <w:rFonts w:ascii="Times New Roman;serif" w:hAnsi="Times New Roman;serif"/>
                  <w:b w:val="false"/>
                  <w:strike w:val="false"/>
                  <w:dstrike w:val="false"/>
                  <w:color w:val="000000"/>
                  <w:sz w:val="20"/>
                  <w:u w:val="none"/>
                  <w:effect w:val="none"/>
                </w:rPr>
                <w:t>87</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835">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835">
              <w:r>
                <w:rPr>
                  <w:rStyle w:val="InternetLink"/>
                  <w:rFonts w:ascii="Times New Roman;serif" w:hAnsi="Times New Roman;serif"/>
                  <w:b w:val="false"/>
                  <w:strike w:val="false"/>
                  <w:dstrike w:val="false"/>
                  <w:color w:val="000000"/>
                  <w:sz w:val="20"/>
                  <w:u w:val="none"/>
                  <w:effect w:val="none"/>
                </w:rPr>
                <w:t>87</w:t>
              </w:r>
            </w:hyperlink>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39">
              <w:r>
                <w:rPr>
                  <w:rStyle w:val="InternetLink"/>
                  <w:rFonts w:ascii="Times New Roman;serif" w:hAnsi="Times New Roman;serif"/>
                  <w:b w:val="false"/>
                  <w:color w:val="0000FF"/>
                  <w:sz w:val="20"/>
                  <w:u w:val="single"/>
                </w:rPr>
                <w:t>Exhibits,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39">
              <w:r>
                <w:rPr>
                  <w:rStyle w:val="InternetLink"/>
                  <w:rFonts w:ascii="Times New Roman;serif" w:hAnsi="Times New Roman;serif"/>
                  <w:b w:val="false"/>
                  <w:strike w:val="false"/>
                  <w:dstrike w:val="false"/>
                  <w:color w:val="000000"/>
                  <w:sz w:val="20"/>
                  <w:u w:val="none"/>
                  <w:effect w:val="none"/>
                </w:rPr>
                <w:t>88</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7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797">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797">
              <w:r>
                <w:rPr>
                  <w:rStyle w:val="InternetLink"/>
                  <w:rFonts w:ascii="Times New Roman;serif" w:hAnsi="Times New Roman;serif"/>
                  <w:b w:val="false"/>
                  <w:strike w:val="false"/>
                  <w:dstrike w:val="false"/>
                  <w:color w:val="000000"/>
                  <w:sz w:val="20"/>
                  <w:u w:val="none"/>
                  <w:effect w:val="none"/>
                </w:rPr>
                <w:t>90</w:t>
              </w:r>
            </w:hyperlink>
          </w:p>
        </w:tc>
      </w:tr>
      <w:tr>
        <w:trPr/>
        <w:tc>
          <w:tcPr>
            <w:tcW w:w="2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42">
              <w:r>
                <w:rPr>
                  <w:rStyle w:val="InternetLink"/>
                  <w:rFonts w:ascii="Times New Roman;serif" w:hAnsi="Times New Roman;serif"/>
                  <w:b w:val="false"/>
                  <w:color w:val="0000FF"/>
                  <w:sz w:val="20"/>
                  <w:u w:val="single"/>
                </w:rPr>
                <w:t>Signatures</w:t>
              </w:r>
            </w:hyperlink>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42">
              <w:r>
                <w:rPr>
                  <w:rStyle w:val="InternetLink"/>
                  <w:rFonts w:ascii="Times New Roman;serif" w:hAnsi="Times New Roman;serif"/>
                  <w:b w:val="false"/>
                  <w:strike w:val="false"/>
                  <w:dstrike w:val="false"/>
                  <w:color w:val="000000"/>
                  <w:sz w:val="20"/>
                  <w:u w:val="none"/>
                  <w:effect w:val="none"/>
                </w:rPr>
                <w:t>91</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Annual Report on Form 10-K,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When considering forward-looking statements, you should keep in mind the risk factors and other cautionary statements described under the heading “Risk Factors” included in this Annual Report on Form 10</w:t>
        <w:noBreakHyphen/>
        <w:t>K. Forward-looking statements contained in this Annual Report on Form 10</w:t>
        <w:noBreakHyphen/>
        <w:t>K may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revenue, costs and other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estimated size of our addressable market opportunity;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rate of the markets in which we compete;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grow existing and attract new brand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and enhance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launch and monetize incremental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into global geographies;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utilize AI successfully in our current and future solutions and to participate effectively in evolving AI-driven commerce ecosystems;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anticipated capital expenditures and our estimates regarding our capital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investments in our selling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our senior management and our ability to identify, recruit and integrate strategic personnel hires;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provide a quality purchasing experience for our consumers;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purchase products from our brand partners (including expanding product selection);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enhance and innovate our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investments in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into global geographies and marketplaces;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industry trends and other macroeconomic factors, such as fluctuating interest rates and rising inflation, including the impact on consumer spending;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general, business and geopolitical conditions worldwide on our industry,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Annual Report on Form 10-K primarily on management’s current beliefs and our current expectations and projections about future events and trends that we believe may affect our business, results of operations, financial condition and prospects. In addition, statements that “we believe” and similar statements reflect our beliefs and opinions on the relevant subject. These statements are based upon information available to us as of the date of this Annual Report on Form 10</w:t>
        <w:noBreakHyphen/>
        <w:t xml:space="preserve">K, and while we believe such information forms a reasonable basis for such statements, such information may be limited or incomplete, and our statements should not be read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indicate that we have conducted an exhaustive inquiry into, or review of, all potentially available relevant information. These statements are inherently uncertain, and you are cautioned not to unduly rely upon these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w:t>
        <w:noBreakHyphen/>
        <w:t>K relate only to events as of the date on which the statements are made. We undertake no obligation to update any forward-looking statements made in this Annual Report on Form 10</w:t>
        <w:noBreakHyphen/>
        <w:t>K to reflect events or circumstances after the date of this Annual Report on Form 10</w:t>
        <w:noBreakHyphen/>
        <w:t>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this document, unless otherwise indicated or unless the context requires otherwise, all references in this document to “Pattern”, “the Company”, “we”, “us”, “our” or similar references are to Pattern Group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Pattern is a global ecommerce acceleration platform that helps consumer brands sell products on global ecommerce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proprietary technology and on-demand experts operate across more than 70 marketplaces to increase product sales to consumers in more than 100 countries. Utilizing more than 66 trillion data points and sophisticated machine learning and artificial intelligence (“AI”), we strive to optimize and automate key levers of ecommerce growth, including advertising, content creation and management, pricing, forecasting and customer service.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 is a powerful platform that allows brands to navigate the complexity of operating on global ecommerce marketplaces at scale.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Pattern’s platform sits as a thin layer between brands, marketplaces and consumers. We believe that one of the best ways to monetize our technology and expertise is by purchasing products from our brand partners and selling those products to consumers on global marketplaces. We generate the substantial majority of our revenue from consumer product sales on global ecommerce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model results in a more seamless, low-friction relationship and allows Pattern maximum control over the customer experience, including content, pricing, logistics and customer service. In our experience, this business model aligns Pattern’s and our brand partners’ incentives toward maximizing growth. Importantly, transacting directly with consumers also allows us to accumulate comprehensive marketplace data, perform real-time testing and build more powerful predictive models.</w:t>
      </w:r>
    </w:p>
    <w:p>
      <w:pPr>
        <w:pStyle w:val="TextBody"/>
        <w:bidi w:val="0"/>
        <w:spacing w:before="0" w:after="0"/>
        <w:jc w:val="center"/>
        <w:rPr/>
      </w:pPr>
      <w:r>
        <w:rPr/>
        <w:drawing>
          <wp:inline distT="0" distB="0" distL="0" distR="0">
            <wp:extent cx="5486400" cy="22860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486400" cy="2286000"/>
                    </a:xfrm>
                    <a:prstGeom prst="rect">
                      <a:avLst/>
                    </a:prstGeom>
                  </pic:spPr>
                </pic:pic>
              </a:graphicData>
            </a:graphic>
          </wp:inline>
        </w:drawing>
      </w:r>
      <w:bookmarkStart w:id="0" w:name="i-1"/>
      <w:bookmarkEnd w:id="0"/>
    </w:p>
    <w:tbl>
      <w:tblPr>
        <w:tblW w:w="7160" w:type="dxa"/>
        <w:jc w:val="center"/>
        <w:tblInd w:w="0" w:type="dxa"/>
        <w:tblLayout w:type="fixed"/>
        <w:tblCellMar>
          <w:top w:w="28" w:type="dxa"/>
          <w:left w:w="28" w:type="dxa"/>
          <w:bottom w:w="28" w:type="dxa"/>
          <w:right w:w="28" w:type="dxa"/>
        </w:tblCellMar>
      </w:tblPr>
      <w:tblGrid>
        <w:gridCol w:w="254"/>
        <w:gridCol w:w="224"/>
        <w:gridCol w:w="226"/>
        <w:gridCol w:w="125"/>
        <w:gridCol w:w="125"/>
        <w:gridCol w:w="126"/>
        <w:gridCol w:w="109"/>
        <w:gridCol w:w="109"/>
        <w:gridCol w:w="109"/>
        <w:gridCol w:w="125"/>
        <w:gridCol w:w="125"/>
        <w:gridCol w:w="126"/>
        <w:gridCol w:w="109"/>
        <w:gridCol w:w="109"/>
        <w:gridCol w:w="109"/>
        <w:gridCol w:w="125"/>
        <w:gridCol w:w="125"/>
        <w:gridCol w:w="126"/>
        <w:gridCol w:w="109"/>
        <w:gridCol w:w="109"/>
        <w:gridCol w:w="109"/>
        <w:gridCol w:w="134"/>
        <w:gridCol w:w="134"/>
        <w:gridCol w:w="136"/>
        <w:gridCol w:w="109"/>
        <w:gridCol w:w="109"/>
        <w:gridCol w:w="109"/>
        <w:gridCol w:w="134"/>
        <w:gridCol w:w="134"/>
        <w:gridCol w:w="136"/>
        <w:gridCol w:w="109"/>
        <w:gridCol w:w="109"/>
        <w:gridCol w:w="109"/>
        <w:gridCol w:w="134"/>
        <w:gridCol w:w="134"/>
        <w:gridCol w:w="136"/>
        <w:gridCol w:w="109"/>
        <w:gridCol w:w="109"/>
        <w:gridCol w:w="109"/>
        <w:gridCol w:w="125"/>
        <w:gridCol w:w="125"/>
        <w:gridCol w:w="126"/>
        <w:gridCol w:w="109"/>
        <w:gridCol w:w="109"/>
        <w:gridCol w:w="109"/>
        <w:gridCol w:w="125"/>
        <w:gridCol w:w="125"/>
        <w:gridCol w:w="126"/>
        <w:gridCol w:w="109"/>
        <w:gridCol w:w="109"/>
        <w:gridCol w:w="109"/>
        <w:gridCol w:w="125"/>
        <w:gridCol w:w="125"/>
        <w:gridCol w:w="126"/>
        <w:gridCol w:w="109"/>
        <w:gridCol w:w="109"/>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Net Income</w:t>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$14.7</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$10.6</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$10.8</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$(1.0)</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$(5.2)</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$(3.0)</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$41.3</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$67.9</w:t>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2"/>
              </w:rPr>
            </w:pPr>
            <w:r>
              <w:rPr>
                <w:rFonts w:ascii="Arial;sans-serif" w:hAnsi="Arial;sans-serif"/>
                <w:b w:val="false"/>
                <w:color w:val="000000"/>
                <w:sz w:val="12"/>
              </w:rPr>
              <w:t>$16.2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Ecommerce is Simple for Consumers but Complex for Brands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Ecommerce has made purchasing more convenient for consumers, but it has increased operational complexity for brands. Selling on online marketplaces requires brands to manage dynamic pricing, algorithm-driven product discovery, ongoing advertising and complex fulfillment and logistics requirements across multiple channels. Many brands lack the scale, technology and expertise to manage these activities efficiently and profitably on their own.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products across global ecommerce marketplaces also requires brands to manage a wide range of interrelated activities, including driving traffic, optimizing product content, maintaining consistent brand presentation, managing inventory levels, complying with marketplace policies, coordinating fulfillment and logistics and supporting post-purchase customer engagement across regions. These activities must be executed concurrently and adapted continuously to changing marketplace rules, pricing dynamics and consumer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these complexities and opaque marketplace requirements, brands face several key challenges,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Growing profitably:</w:t>
      </w:r>
      <w:r>
        <w:rPr>
          <w:color w:val="000000"/>
        </w:rPr>
        <w:t xml:space="preserve"> </w:t>
      </w:r>
      <w:r>
        <w:rPr>
          <w:rFonts w:ascii="Times New Roman;serif" w:hAnsi="Times New Roman;serif"/>
          <w:b w:val="false"/>
          <w:color w:val="000000"/>
          <w:sz w:val="20"/>
        </w:rPr>
        <w:t xml:space="preserve">Increasing customer acquisition costs, marketplace fees, fulfillment and logistics expenses, inventory risk and the cost of developing and maintaining internal ecommerce technology place pressure on margins and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Lack of integrated technology:</w:t>
      </w:r>
      <w:r>
        <w:rPr>
          <w:color w:val="000000"/>
        </w:rPr>
        <w:t xml:space="preserve"> </w:t>
      </w:r>
      <w:r>
        <w:rPr>
          <w:rFonts w:ascii="Times New Roman;serif" w:hAnsi="Times New Roman;serif"/>
          <w:b w:val="false"/>
          <w:color w:val="000000"/>
          <w:sz w:val="20"/>
        </w:rPr>
        <w:t xml:space="preserve">Many brands rely on fragmented tools for advertising, inventory and analytics, leading to operational inefficiencies, higher costs and limited real-time visibility across marketplaces.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Limited access to high-quality data:</w:t>
      </w:r>
      <w:r>
        <w:rPr>
          <w:color w:val="000000"/>
        </w:rPr>
        <w:t xml:space="preserve"> </w:t>
      </w:r>
      <w:r>
        <w:rPr>
          <w:rFonts w:ascii="Times New Roman;serif" w:hAnsi="Times New Roman;serif"/>
          <w:b w:val="false"/>
          <w:color w:val="000000"/>
          <w:sz w:val="20"/>
        </w:rPr>
        <w:t xml:space="preserve">Brands often face challenges accessing, consolidating and analyzing comprehensive ecommerce data across marketplaces, advertising platforms and social channels, limiting their ability to optimize performance and allocate spend effectively.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Lack of specialized expertise:</w:t>
      </w:r>
      <w:r>
        <w:rPr>
          <w:color w:val="000000"/>
        </w:rPr>
        <w:t xml:space="preserve"> </w:t>
      </w:r>
      <w:r>
        <w:rPr>
          <w:rFonts w:ascii="Times New Roman;serif" w:hAnsi="Times New Roman;serif"/>
          <w:b w:val="false"/>
          <w:color w:val="000000"/>
          <w:sz w:val="20"/>
        </w:rPr>
        <w:t xml:space="preserve">Successfully operating across multiple marketplaces and regions requires specialized knowledge of platform rules, regulations and evolving channel dynamics, which can be difficult and costly for brands to build and maintain internally.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Maintaining brand value and consistency:</w:t>
      </w:r>
      <w:r>
        <w:rPr>
          <w:color w:val="000000"/>
        </w:rPr>
        <w:t xml:space="preserve"> </w:t>
      </w:r>
      <w:r>
        <w:rPr>
          <w:rFonts w:ascii="Times New Roman;serif" w:hAnsi="Times New Roman;serif"/>
          <w:b w:val="false"/>
          <w:color w:val="000000"/>
          <w:sz w:val="20"/>
        </w:rPr>
        <w:t>Brands face challenges maintaining consistent positioning, pricing discipline, product authenticity, delivery standards and customer experience across marketplaces, particularly as competition increases and unauthorized or non-compliant sellers emerge.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How We Do What We Do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Pattern operates as an ecommerce accelerator, combining proprietary technology and on-demand expertise to support consumer brands operating across global ecommerce marketplaces. Given the complexities that consumer brands face in scaling and accelerating global ecommerce, we have organized our platform around a simple and intuitive formula, which we call the ecommerce equation:</w:t>
      </w:r>
    </w:p>
    <w:p>
      <w:pPr>
        <w:pStyle w:val="TextBody"/>
        <w:bidi w:val="0"/>
        <w:spacing w:before="0" w:after="180"/>
        <w:ind w:left="0" w:right="0" w:firstLine="360"/>
        <w:jc w:val="center"/>
        <w:rPr/>
      </w:pPr>
      <w:r>
        <w:rPr/>
        <w:drawing>
          <wp:inline distT="0" distB="0" distL="0" distR="0">
            <wp:extent cx="5943600" cy="10287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5943600" cy="1028700"/>
                    </a:xfrm>
                    <a:prstGeom prst="rect">
                      <a:avLst/>
                    </a:prstGeom>
                  </pic:spPr>
                </pic:pic>
              </a:graphicData>
            </a:graphic>
          </wp:inline>
        </w:drawing>
      </w:r>
      <w:bookmarkStart w:id="1" w:name="i-2"/>
      <w:bookmarkEnd w:id="1"/>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ecommerce acceleration platform is powered by AI and machine learning and supports thousands of automated optimizations across tens of thousands of products worldwide. It is informed by a proprietary data set of more than 66 trillion data points, including keyword, shipping, advertising, sales, market share, click, social, conversion and customer service data. Our technology organization includes approximately 480 software engineers, data scientists and other technology professionals and is supported by 31 patent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platform combines proprietary technology with a global team of in-house experts across marketplace operations, advertising, content, inventory management, fulfillment and brand protection to execute ecommerce operations at scale. We sell tens of thousands of products from more than 200 brands across the Americas, Europe, Australia and Asia.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platform combines proprietary technology and on-demand expertise built on a differentiated data set. Our global team of software and industry experts optimize traffic, conversion, pricing and availability across ecommerce marketplaces to support profitable growth for our brand partners.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is powered by proprietary data set consisting of more than 66 trillion data points. This data set informs our machine learning algorithms and large language models (“LLMs”) we use to support automation and decision-making across the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virtue of our scale, presence and data collection practices on marketplaces, advertising platforms and social media applications around the world, we continue to add to our data advantage, collecting billions of new data points each day. We believe this data set provides a competitive moat that deepens over time as large quantities of data are collected, further differentiating our platform from alternative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Data Layer and Artificial Intelligence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includes a data layer that processes marketplace, advertising, fulfillment, and consumer engagement data through millions of daily API calls. The data layer draws on more than 66 trillion historical data points across millions of products, brands and marketplaces, supplemented by third-party data sources and we continue to collect new data points.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data supports proprietary machine learning models, natural language processing engines, and LLMs trained on operational and marketplace data. We also license certain third-party technologies where appropriate. These models analyze large volumes of product, keyword, brand, and consumer interaction data to generate insights and automate execution workflows. Models are continuously refined as additional data is incorporated. We continue to invest in the development and enhancement of our AI capabilities.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Platform Engines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includes integrated engines designed to optimize the key components of ecommerce performance,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Traffic Engine:</w:t>
      </w:r>
      <w:r>
        <w:rPr>
          <w:color w:val="000000"/>
        </w:rPr>
        <w:t xml:space="preserve"> </w:t>
      </w:r>
      <w:r>
        <w:rPr>
          <w:rFonts w:ascii="Times New Roman;serif" w:hAnsi="Times New Roman;serif"/>
          <w:b w:val="false"/>
          <w:color w:val="000000"/>
          <w:sz w:val="20"/>
        </w:rPr>
        <w:t>Manages paid and organic demand generation across marketplaces and social platforms, including keyword optimization, advertising management, influencer coordination, and budget allocation.</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Conversion Engine:</w:t>
      </w:r>
      <w:r>
        <w:rPr>
          <w:color w:val="000000"/>
        </w:rPr>
        <w:t xml:space="preserve"> </w:t>
      </w:r>
      <w:r>
        <w:rPr>
          <w:rFonts w:ascii="Times New Roman;serif" w:hAnsi="Times New Roman;serif"/>
          <w:b w:val="false"/>
          <w:color w:val="000000"/>
          <w:sz w:val="20"/>
        </w:rPr>
        <w:t>Supports content management, content optimization, and content creation to improve conversion rates across ecommerce and social platforms using performance and competitive data signals.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Price Engine:</w:t>
      </w:r>
      <w:r>
        <w:rPr>
          <w:color w:val="000000"/>
        </w:rPr>
        <w:t xml:space="preserve"> </w:t>
      </w:r>
      <w:r>
        <w:rPr>
          <w:rFonts w:ascii="Times New Roman;serif" w:hAnsi="Times New Roman;serif"/>
          <w:b w:val="false"/>
          <w:color w:val="000000"/>
          <w:sz w:val="20"/>
        </w:rPr>
        <w:t>Monitors pricing activity, including authorized and unauthorized sellers, and identifies price suppression, erosion, and competitive positioning across marketplaces and websites.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Availability Engine:</w:t>
      </w:r>
      <w:r>
        <w:rPr>
          <w:color w:val="000000"/>
        </w:rPr>
        <w:t xml:space="preserve"> </w:t>
      </w:r>
      <w:r>
        <w:rPr>
          <w:rFonts w:ascii="Times New Roman;serif" w:hAnsi="Times New Roman;serif"/>
          <w:b w:val="false"/>
          <w:color w:val="000000"/>
          <w:sz w:val="20"/>
        </w:rPr>
        <w:t>Provides order management, inventory forecasting, and in-stock monitoring tools to support fulfillment efficiency and reduce out-of-stock risk.</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Insights Engine:</w:t>
      </w:r>
      <w:r>
        <w:rPr>
          <w:color w:val="000000"/>
        </w:rPr>
        <w:t xml:space="preserve"> </w:t>
      </w:r>
      <w:r>
        <w:rPr>
          <w:rFonts w:ascii="Times New Roman;serif" w:hAnsi="Times New Roman;serif"/>
          <w:b w:val="false"/>
          <w:color w:val="000000"/>
          <w:sz w:val="20"/>
        </w:rPr>
        <w:t>Aggregates platform-wide data into dashboards, scorecards, reporting tools, and alerts that provide visibility into revenue performance, pricing consistency, inventory health, advertising efficiency, and other operational metrics.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On-Demand Expertise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global team includes brand managers, advertising and SEO specialists, creative professionals, data scientists, customer service representatives, and inventory managers. These teams use our platform to execute ecommerce operations aligned with brand partner objectives. We believe the integration of proprietary technology and operational expertise enables consistent execution across marketplaces and geographies.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teams support onboarding, inventory planning, advertising execution, content optimization, fulfillment coordination, and ongoing performance monitoring. Engagement includes regular business reviews and ongoing collaboration to identify optimization and expansion opportunities.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Brand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more than 200 brand partners across a range of industries and geographies, including the Americas, Europe, Australia and Asia. Our brand partners operate in categories such as health and wellness, beauty and personal care, home and lifestyle, pet, sports and outdoors and consumer electronics.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brand partners vary in size, business model and geographic presence, and their results may differ based on a number of factors, including product category, marketplace dynamics and regional execution. More than 53% of our revenue was attributable to brand partners that have worked with Pattern for more than five years.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Competitive Strengths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Win-win Partnership Mindset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our business with the view that our success is aligned with the success of our brand partners. Our business model avoids a traditional agency structure and aligns economic incentives by tying our revenue directly to consumer product sales. As a result, growth for our brand partners translates directly into growth for Pattern.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purchasing inventory and managing key aspects of the ecommerce value chain, including content, pricing, fulfillment, customer service and data collection, we maintain control over execution while providing a low-friction operating model for brand partners. We believe this approach supports long-term relationships and scalability beyond software-only or fee-based models.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Comprehensive Proprietary Technology and Data 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one of the largest third-party sellers globally, we have built a large and growing proprietary data set derived from marketplace activity, advertising performance, fulfillment operations and consumer engagement. We have collected more than 66 trillion data points across millions of products, brands, marketplaces, advertising platforms and social commerce channels since inception and we continue to collect new data points.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platform integrates data, analytics and AI capabilities to support execution across traffic, conversion, pricing and availability. These capabilities enable data-driven decision-making at scale and provide brand partners with visibility into marketplace performance, brand representation, fulfillment quality and customer experience. We believe the scale and breadth of our data and technology provide differentiation relative to alternative solutions.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Integrated, On-demand Expertise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platform combines proprietary technology with on-demand expertise across marketplace operations, advertising, content, inventory management, fulfillment and customer service. Our teams bring experience across brands, categories, marketplaces and regions and use our technology to execute and optimize ecommerce operations on behalf of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work closely with brand partners to support ongoing execution, performance monitoring and expansion into new marketplaces and regions. This integration of technology and expertise enables coordinated execution and operational consistency across channels.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Scale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global scale enhances the effectiveness of our platform across data, technology investment, operations and logistics. Scale enables more efficient data collection, greater automation and continued investment in technology and operational capabilities.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scale also supports efficiencies across logistics and fulfillment, allowing us to manage large volumes of inventory and shipments while maintaining operational performance. As our platform scales, we are able to further invest in technology and expertise to support brand partner growth.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First-mover 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invested early in building proprietary technology and operational infrastructure to support brand partners on ecommerce marketplaces. Over time, this has enabled us to accumulate a large data set, establish operations across international markets and develop expertise in managing marketplace complexity.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early investments and operating history across global marketplaces support our ability to assist brand partners with marketplace expansion and execution across regions.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Deep and Long-lasting Brand Partner Relationships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long-term relationships with brand partners that reflect the durability of our operating model. For the year ended December 31, 2025, approximately 89% of our revenue was attributable to existing brand partners and more than 53% of our revenue was attributable to brand partners that have worked with Pattern for more than five years.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Proven Leadership Team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team brings experience across ecommerce, technology, operations and brand management. We believe our leadership, talent and culture support disciplined execution, ongoing innovation and the continued development of our platform and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Flywheel Effect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our proprietary data, technology and global logistics network to improve execution across ecommerce marketplaces. As we operate across a growing number of products, brands and marketplaces, we collect additional data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enhances our insights, supports more effective optimization and improves operational efficiency. This scale enables continued investment in our platform and capabilities, which in turn supports brand partner growth and attracts new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scale also enables efficiencies across advertising, logistics and fulfillment. Increased volume allows for more effective testing and optimization of marketing strategies and improved logistics coordination, contributing to better delivery performance and cost efficiency. As our operations scale, we are able to reinvest in technology, research and development and operational capabilities to support execution across regions and categories.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Benefits to Our Ecosystem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platform drives demonstrable value across the ecommerce ecosystem: consumers, brand partners and marketplaces.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Benefits to Consumers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a consistent and efficient experience for consumers across all ecommerce channels that we operate 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Because we follow our brand partners’ brand policies, consumers can trust that they are purchasing authentic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Highly ranked on price competitiveness across marketplaces, offering quick response times to customers, low order defect rate and high in-stock rates, with a 4.9/5.0 seller rating on over 500 thousand ratings.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effective inventory and logistics management, we ensure products are available and delivered quickly and efficiently into marketplaces, enabling fast shipping to consumers.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Benefits to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Whereas traditional marketplace agencies and technology providers charge fees, retainers, or percentages of advertising spend, Pattern’s business model aligns our incentives with those of our brand partners by tying our revenue primarily to consumer product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use an integrated, end-to-end technology stack to help brand partners manage the complexity of selling across ecommerce marketplaces and drive consumer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proprietary technology collects and analyzes large volumes of marketplace, advertising, fulfillment and consumer engagement data, providing insights that are not readily available through other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leverage our data and analytics capabilities to help brand partners identify growth opportunities, including customer acquisition, product expansion and entry into new marketplaces and regions.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on-demand experts support brand partners across marketing, fulfillment, customer service and inventory management on a global basis.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support brand integrity by monitoring marketplace activity and assisting brand partners in identifying unauthorized sellers and potential counterfeit products in accordance with their brand guidelines.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Benefits to Marketplaces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Marketplaces on which we operate benefit from improved consumer experience, increased product availability and sales activity generated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support marketplaces by enabling brand partners to launch, operate and scale their products across channels, contributing to broader and more diverse product selection.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leverage our experience across marketplaces to provide operational feedback and insights intended to support improvements in customer and seller experiences.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technology and data capabilities support advertising activity on marketplaces by providing actionable insights that help brands engage consumers more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integrated data, technology and operational execution, we help create efficient marketplace operations that support growth and trust across participants.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Pattern operates within the global ecommerce market, which is estimated to be approximately $4 trillion in size and forecasted to grow at a CAGR of 9.5% from 2026 to 2030, representing more than $500 billion of annual growth</w:t>
      </w:r>
      <w:r>
        <w:rPr>
          <w:rFonts w:ascii="Times New Roman;serif" w:hAnsi="Times New Roman;serif"/>
          <w:b w:val="false"/>
          <w:color w:val="000000"/>
          <w:sz w:val="13"/>
        </w:rPr>
        <w:t>1</w:t>
      </w:r>
      <w:r>
        <w:rPr>
          <w:rFonts w:ascii="Times New Roman;serif" w:hAnsi="Times New Roman;serif"/>
          <w:b w:val="false"/>
          <w:color w:val="000000"/>
          <w:sz w:val="20"/>
        </w:rPr>
        <w:t>. Ecommerce remains the fastest-growing retail channel. Consumers are increasingly shopping online and, as a result, global ecommerce sales are expected to grow more than two times as fast as all other global non-ecommerce sales from 2026 to 2030</w:t>
      </w:r>
      <w:r>
        <w:rPr>
          <w:rFonts w:ascii="Times New Roman;serif" w:hAnsi="Times New Roman;serif"/>
          <w:b w:val="false"/>
          <w:color w:val="000000"/>
          <w:sz w:val="13"/>
        </w:rPr>
        <w:t>2</w:t>
      </w:r>
      <w:r>
        <w:rPr>
          <w:rFonts w:ascii="Times New Roman;serif" w:hAnsi="Times New Roman;serif"/>
          <w:b w:val="false"/>
          <w:color w:val="000000"/>
          <w:sz w:val="20"/>
        </w:rPr>
        <w:t>. U.S. ecommerce sales are expected to grow more than five times as fast as all other U.S. non-ecommerce sales over this span</w:t>
      </w:r>
      <w:r>
        <w:rPr>
          <w:rFonts w:ascii="Times New Roman;serif" w:hAnsi="Times New Roman;serif"/>
          <w:b w:val="false"/>
          <w:color w:val="000000"/>
          <w:sz w:val="13"/>
        </w:rPr>
        <w:t>3</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Growth Strategies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Grow with our Existing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core priority of our business is retaining and growing revenue attributable to existing brand partners through continued optimization of ecommerce performance. For the year ended December 31, 2025, approximately 89% of our revenue was attributable to existing brand partners, and more than 53% of our revenue was attributable to brand partners that have worked with Pattern for more than five years. For the year ended December 31, 2025, our net revenue retention rate was 124%. See “Management’s Discussion and Analysis of Financial Condition and Results of Operations—Key Business Metric and Non-GAAP Financial Measure” for additional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seek to grow with existing brand partners by increasing the breadth of products we sell on their behalf and by supporting expansion across additional marketplaces and geographies. As brand partners expand their product selection and marketplace presence, we provide operational support, localized strategies and execution capabilities designed to improve efficiency and sales performance across regions.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Attract New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grow by signing new brand partners to our platform. We target brands with established products, loyal customer bases and growth potential, which we evaluate using proprietary data and performance scorecards. Our sales and marketing efforts focus on identifying potential partners that are a strong fit for our platform and operating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leverage our execution track record, scale and reputation to attract new brand partners seeking support in managing and scaling their ecommerce operations. Referrals and industry relationships also contribute to new brand partner acquisition.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Enhance and Expand our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continued investment in our platform enhances our value to brand partners and supports differentiation in the ecommerce accelerator space. We have invested in research and development to build and enhance our technology and data capabilities and expect to continue investing in analytics, automation and AI-enabled solutions.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seek to enhance and integrate our platform across existing and new ecommerce marketplaces. We evaluate opportunities for organic development, partnerships, investments and acquisitions to expand our capabilities and support brand partner needs.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Monetize Incremental Solutions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evaluate opportunities to monetize discrete components of our platform and diversify our revenue mix.</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Software-as-a-Service:</w:t>
      </w:r>
      <w:r>
        <w:rPr>
          <w:color w:val="000000"/>
        </w:rPr>
        <w:t xml:space="preserve"> </w:t>
      </w:r>
      <w:r>
        <w:rPr>
          <w:rFonts w:ascii="Times New Roman;serif" w:hAnsi="Times New Roman;serif"/>
          <w:b w:val="false"/>
          <w:color w:val="000000"/>
          <w:sz w:val="20"/>
        </w:rPr>
        <w:t>We offer and continue to enhance SaaS solutions, including PXM and Creators, which support content management and social commerce workflows.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Fulfillment:</w:t>
      </w:r>
      <w:r>
        <w:rPr>
          <w:color w:val="000000"/>
        </w:rPr>
        <w:t xml:space="preserve"> </w:t>
      </w:r>
      <w:r>
        <w:rPr>
          <w:rFonts w:ascii="Times New Roman;serif" w:hAnsi="Times New Roman;serif"/>
          <w:b w:val="false"/>
          <w:color w:val="000000"/>
          <w:sz w:val="20"/>
        </w:rPr>
        <w:t>We invest in fulfillment and marketplace preparation services to support shipping efficiency and operational execution for third-party sellers.</w:t>
      </w:r>
    </w:p>
    <w:p>
      <w:pPr>
        <w:pStyle w:val="TextBody"/>
        <w:bidi w:val="0"/>
        <w:spacing w:lineRule="auto" w:line="288" w:before="0" w:after="240"/>
        <w:jc w:val="left"/>
        <w:rPr/>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16"/>
        </w:rPr>
        <w:t>Euromonitor International Passport: Retail, 2026 edition.</w:t>
      </w:r>
    </w:p>
    <w:p>
      <w:pPr>
        <w:pStyle w:val="TextBody"/>
        <w:bidi w:val="0"/>
        <w:spacing w:lineRule="auto" w:line="288" w:before="0" w:after="240"/>
        <w:jc w:val="left"/>
        <w:rPr/>
      </w:pPr>
      <w:r>
        <w:rPr>
          <w:rFonts w:ascii="Times New Roman;serif" w:hAnsi="Times New Roman;serif"/>
          <w:b w:val="false"/>
          <w:i/>
          <w:color w:val="000000"/>
          <w:sz w:val="13"/>
        </w:rPr>
        <w:t>2</w:t>
      </w:r>
      <w:r>
        <w:rPr>
          <w:color w:val="000000"/>
        </w:rPr>
        <w:t xml:space="preserve"> </w:t>
      </w:r>
      <w:r>
        <w:rPr>
          <w:rFonts w:ascii="Times New Roman;serif" w:hAnsi="Times New Roman;serif"/>
          <w:b w:val="false"/>
          <w:i/>
          <w:color w:val="000000"/>
          <w:sz w:val="16"/>
        </w:rPr>
        <w:t>Euromonitor International Passport: Retail, 2026 edition.</w:t>
      </w:r>
    </w:p>
    <w:p>
      <w:pPr>
        <w:pStyle w:val="TextBody"/>
        <w:bidi w:val="0"/>
        <w:spacing w:lineRule="auto" w:line="288" w:before="0" w:after="240"/>
        <w:jc w:val="left"/>
        <w:rPr/>
      </w:pPr>
      <w:r>
        <w:rPr>
          <w:rFonts w:ascii="Times New Roman;serif" w:hAnsi="Times New Roman;serif"/>
          <w:b w:val="false"/>
          <w:i/>
          <w:color w:val="000000"/>
          <w:sz w:val="13"/>
        </w:rPr>
        <w:t>3</w:t>
      </w:r>
      <w:r>
        <w:rPr>
          <w:color w:val="000000"/>
        </w:rPr>
        <w:t xml:space="preserve"> </w:t>
      </w:r>
      <w:r>
        <w:rPr>
          <w:rFonts w:ascii="Times New Roman;serif" w:hAnsi="Times New Roman;serif"/>
          <w:b w:val="false"/>
          <w:i/>
          <w:color w:val="000000"/>
          <w:sz w:val="16"/>
        </w:rPr>
        <w:t>Euromonitor International Passport: Retail, 2026 edition.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Services:</w:t>
      </w:r>
      <w:r>
        <w:rPr>
          <w:color w:val="000000"/>
        </w:rPr>
        <w:t xml:space="preserve"> </w:t>
      </w:r>
      <w:r>
        <w:rPr>
          <w:rFonts w:ascii="Times New Roman;serif" w:hAnsi="Times New Roman;serif"/>
          <w:b w:val="false"/>
          <w:color w:val="000000"/>
          <w:sz w:val="20"/>
        </w:rPr>
        <w:t>We provide consulting and design services to support brand partners across strategy, analytics and creative execution.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Continue to Expand into Global Geographies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global operating capabilities support expansion beyond the United States. We continue to build on our platform and expertise to support brand partners across additional regions, including Asia, and to operate across a broad range of global ecommerce marketplaces.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Solutions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 range of solutions that leverage our proprietary technology and ecommerce expertise to support consumer brands selling through online marketplaces and social commerce.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solution is our Global 3P Accelerator, which drives the majority of consumer product sales on our platform. The Global 3P Accelerator leverages our platform to support execution across traffic, conversion, pricing and availability on behalf of brand partners. This solution includes technology and operational support for forecasting, inventory management, listing optimization, advertising execution, content management and customer service.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Additional Solutions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Global 3P Accelerator, we offer additional solutions that leverage our technology, data and operational capabilities: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1P Accelerator:</w:t>
      </w:r>
      <w:r>
        <w:rPr>
          <w:color w:val="000000"/>
        </w:rPr>
        <w:t xml:space="preserve"> </w:t>
      </w:r>
      <w:r>
        <w:rPr>
          <w:rFonts w:ascii="Times New Roman;serif" w:hAnsi="Times New Roman;serif"/>
          <w:b w:val="false"/>
          <w:color w:val="000000"/>
          <w:sz w:val="20"/>
        </w:rPr>
        <w:t>Enables brands to access our technology, services and operational expertise without Pattern purchasing inventory, allowing brands to maintain a first-party selling model while paying platform and service fees.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Software-as-a-Service:</w:t>
      </w:r>
      <w:r>
        <w:rPr>
          <w:color w:val="000000"/>
        </w:rPr>
        <w:t xml:space="preserve"> </w:t>
      </w:r>
      <w:r>
        <w:rPr>
          <w:rFonts w:ascii="Times New Roman;serif" w:hAnsi="Times New Roman;serif"/>
          <w:b w:val="false"/>
          <w:color w:val="000000"/>
          <w:sz w:val="20"/>
        </w:rPr>
        <w:t>Includes PXM and Creators, which provide tools for managing and optimizing product content across ecommerce channels and for recruiting, engaging and managing affiliate and creator marketing campaigns.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Fulfillment:</w:t>
      </w:r>
      <w:r>
        <w:rPr>
          <w:color w:val="000000"/>
        </w:rPr>
        <w:t xml:space="preserve"> </w:t>
      </w:r>
      <w:r>
        <w:rPr>
          <w:rFonts w:ascii="Times New Roman;serif" w:hAnsi="Times New Roman;serif"/>
          <w:b w:val="false"/>
          <w:color w:val="000000"/>
          <w:sz w:val="20"/>
        </w:rPr>
        <w:t>Includes marketplace preparation and shipping services that support delivery to marketplaces and direct-to-consumer channels and help streamline inbound logistics.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Services:</w:t>
      </w:r>
      <w:r>
        <w:rPr>
          <w:color w:val="000000"/>
        </w:rPr>
        <w:t xml:space="preserve"> </w:t>
      </w:r>
      <w:r>
        <w:rPr>
          <w:rFonts w:ascii="Times New Roman;serif" w:hAnsi="Times New Roman;serif"/>
          <w:b w:val="false"/>
          <w:color w:val="000000"/>
          <w:sz w:val="20"/>
        </w:rPr>
        <w:t>Includes consulting and design services that support brand partners with market analysis, category insights, packaging, product design and prototyping.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Inventory Management and Warehouse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inventory management and warehouse operations are designed to support product availability across multiple marketplaces, platforms and physical locations while managing inventory risk. We combine experienced personnel, scalable processes and proprietary technology to help ensure that inventory is positioned in the right locations and quantities to meet consumer demand.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investment in inventory management resources and technology supports accurate forecasting and operational flexibility, enabling us to respond to changes in demand, promotional activity and marketplace dynamics.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Forecasting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forecasting is supported by proprietary, data-driven models that analyze historical performance and current marketplace conditions to estimate future demand at the product level. These models incorporate a range of inputs, including historical sales trends, pricing competitiveness, inventory pipelines, lead times, seasonality, promotional activity, advertising spend, category trends and broader market dynamics.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Forecasting outputs are reviewed and applied by trained inventory management professionals to inform purchasing decisions. As a result of these processes, our weighted average inventory write-offs as a percentage of revenue have been less than 0.2% over the last three years. In 2025, our inventory turnover ratio was 5.0x and our North American in-stock rate was 98%.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Inventory Purchasing Mechanics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purchasing processes are designed to balance product availability with inventory risk. We utilize consistent purchasing cadences for many brand partners, which allows us to adjust inventory levels in response to changes in demand while reducing the risk of stockouts or overbuying.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leveraging cross-dock facilities, scale efficiencies and integrations with marketplaces, we are able to make products available to consumers more quickly while maintaining lower overall inventory levels.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Warehouse Operations and Logistics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third-party transportation networks to deliver products to consumers and to ecommerce marketplace distribution centers, while focusing our investments on software, automation and systems that support efficient warehouse operations. Our warehouse automation strategy emphasizes scalable software integrated with standardized hardware solutions.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warehouse management system (“WMS”) supports inventory movement, marketplace preparation, fulfillment execution and reverse logistics across our global warehouse network. The WMS integrates with marketplaces and carriers and is designed to support multi-region and multi-language operations. We believe our warehouse operations and systems support efficient, scalable fulfillment and provide flexibility to support future growth.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sales and marketing efforts are informed by our ecommerce data and are focused on identifying prospective brand partners that are a strong fit for our platform and partnership model. We use data-driven performance assessments to evaluate potential brand partners across key ecommerce metrics, including traffic, conversion, pricing, availability and operational readiness across major marketplaces. These assessments inform our outreach and engagement with prospective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sales organization includes global account managers responsible for developing and managing brand partner relationships, supported by inside sales representatives, product specialists and business development personnel. These teams engage with brand partners throughout the customer lifecycle and leverage industry relationships and referrals to support brand partner acquisition.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sales efforts are supported by a global, in-house marketing organization focused on brand, communications, product marketing and demand generation. Marketing initiatives leverage data, insights and subject matter expertise to support brand awareness, demand generation and relationship development. As of December 31, 2025, we employed approximately 150 sales and marketing personnel with in-region presence across North America, Europe, Australia and Asia. We expect to continue investing in our sales and marketing capabilities to support growth and the expansion of our platform and solutions.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ecommerce industry is highly competitive and continues to evolve. Brands have multiple options for managing and growing their ecommerce operations, and competition varies by marketplace, geography, product category and service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compete with a range of alternatives,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Brands that manage ecommerce operations internally;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Technology and service providers that address specific components of ecommerce operations, such as advertising, content, logistics, or analytics;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Marketplaces that offer first-party selling models;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ecommerce accelerators that provide integrated technology and operational support.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compete depends on a number of factors, including the effectiveness and scalability of our technology, the breadth of marketplaces and geographies we support, the quality of our data and analytics, our ability to attract and retain brand partners, pricing and service levels, and our ability to execute consistently while maintaining brand integrity and customer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People and Culture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people are the driving force behind our mission to accelerate global ecommerce for our brand partners and we believe our team’s talent and expertise is a key competitive advantage. As of December 31, 2025, we employed approximately 2,300 full-time employees and engaged approximately 420 contractors and other personnel worldwide. Our workforce spans technology, operations, data and analytics, sales and marketing, customer service and corporate functions, with offices and distribution centers across North America, Europe, Australia and Asia.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focus on attracting, developing and retaining talent with experience in ecommerce, technology, logistics and brand management. Our hiring, compensation and development practices emphasize functional expertise, alignment with evolving business needs and operational execution. We seek to empower employees through clear accountability, appropriate autonomy and opportunities for continuous learning and professional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leadership principles complement our core values and are designed to support effective collaboration, transparent communication and a focus on outcomes. We prioritize impact, accountability and empathy across teams and aim to foster a culture that supports innovation, connection and consistent execution as our business evolves.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core values guide how we operate and make decisions across the organization:</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Data Fanatics:</w:t>
      </w:r>
      <w:r>
        <w:rPr>
          <w:color w:val="000000"/>
        </w:rPr>
        <w:t xml:space="preserve"> </w:t>
      </w:r>
      <w:r>
        <w:rPr>
          <w:rFonts w:ascii="Times New Roman;serif" w:hAnsi="Times New Roman;serif"/>
          <w:b w:val="false"/>
          <w:color w:val="000000"/>
          <w:sz w:val="20"/>
        </w:rPr>
        <w:t>We are deeply passionate about data, using it to uncover opportunities, test hypotheses and drive results. Our teams collaborate to turn data into actionable insights, allowing our brand partners to benefit from precise, high-impact solutions.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Brand Partner Obsessed:</w:t>
      </w:r>
      <w:r>
        <w:rPr>
          <w:color w:val="000000"/>
        </w:rPr>
        <w:t xml:space="preserve"> </w:t>
      </w:r>
      <w:r>
        <w:rPr>
          <w:rFonts w:ascii="Times New Roman;serif" w:hAnsi="Times New Roman;serif"/>
          <w:b w:val="false"/>
          <w:color w:val="000000"/>
          <w:sz w:val="20"/>
        </w:rPr>
        <w:t xml:space="preserve">Our brand partners’ success is our success. We listen, empathize and commit to exceeding expectations with integrity and responsiveness. Earning and maintaining brand partner trust through excellence is at the core of our philosophy.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Team of Doers:</w:t>
      </w:r>
      <w:r>
        <w:rPr>
          <w:color w:val="000000"/>
        </w:rPr>
        <w:t xml:space="preserve"> </w:t>
      </w:r>
      <w:r>
        <w:rPr>
          <w:rFonts w:ascii="Times New Roman;serif" w:hAnsi="Times New Roman;serif"/>
          <w:b w:val="false"/>
          <w:color w:val="000000"/>
          <w:sz w:val="20"/>
        </w:rPr>
        <w:t xml:space="preserve">Action defines us. We embrace challenges with enthusiasm and a spirit of collaboration. Accountable and resilient, our people work with urgency and responsibility to overcome obstacles and deliver on our promises.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Game Changers:</w:t>
      </w:r>
      <w:r>
        <w:rPr>
          <w:color w:val="000000"/>
        </w:rPr>
        <w:t xml:space="preserve"> </w:t>
      </w:r>
      <w:r>
        <w:rPr>
          <w:rFonts w:ascii="Times New Roman;serif" w:hAnsi="Times New Roman;serif"/>
          <w:b w:val="false"/>
          <w:color w:val="000000"/>
          <w:sz w:val="20"/>
        </w:rPr>
        <w:t>We don’t just adapt; we innovate. From disrupting industry norms to discovering new opportunities, we are committed to leading change. We believe in thinking boldly and pushing boundaries for our company and our brand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with any company operating on the internet, we are subject to a growing number of local, national and international laws and regulations. These laws are often complex and unclear, sometimes contradicting other laws, and are frequently changing. Compliance is costly and can require changes to our business practices, along with significant amounts of management time and focus. In addition, regulatory and other legal proceedings in the United States and abroad are increasingly focused on the activities of ecommerce marketplaces as well as sellers and other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 may be interpreted and enforced in different ways in various locations around the world, posing a significant challenge to our global business. For example, federal and state laws in the United States, EU laws and other national laws govern the processing of payments and consumer protection; other laws define and regulate unfair and deceptive trade practices. Still other laws dictate when and how sales or other taxes must be collected. Defamation laws apply online and vary by country. Jurisdictions vary as to how, or whether, existing laws governing areas such as personal privacy and data security, consumer protection or sales and other taxes, among other areas, apply to the internet and ecommerce, and these laws are continually evolving. Related laws may govern the manner in which we store or transfer sensitive information or impose obligations on us in the event of a security breach or an inadvertent disclosure of such information. International jurisdictions impose different, and sometimes more stringent, consumer and privacy protections. In addition, some of these requirements introduce friction into our platform for the promotion and sale of merchandise and may impact the scope and effectiveness of our marketing efforts. Tax regulations in jurisdictions where we do not currently collect taxes may subject us to the obligation to collect and remit such taxes or to requirements intended to assist jurisdictions with their tax collection efforts. New legislation or regulations,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of and demand for ecommerce is likely to result in more laws and regulations that impose additional compliance burdens on ecommerce companies. We are also subject to a broad range of federal, state, local and foreign laws and regulations related to public health and safety, including food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rPr>
        <w:t>standards, packaging, labeling, advertising, marketing, shipment, pricing and competition. Additionally, because we operate internationally, we need to comply with various laws associated with doing business outside of the United States, including anti-money laundering, sanctions, anti-corruption and export control laws. See the section titled “Risk Factors</w:t>
      </w:r>
      <w:r>
        <w:rPr>
          <w:color w:val="000000"/>
        </w:rPr>
        <w:t>—</w:t>
      </w:r>
      <w:r>
        <w:rPr>
          <w:rFonts w:ascii="Times New Roman;serif" w:hAnsi="Times New Roman;serif"/>
          <w:b w:val="false"/>
          <w:color w:val="000000"/>
          <w:sz w:val="20"/>
        </w:rPr>
        <w:t>Risks Related to Legal, Regulatory and Compliance—We are subject to extensive laws and regulations and we may incur material liabilities or costs related to complying with existing or future laws and regulations, and our failure to comply may result in enforcements, penalties, recalls and other adverse actions.”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protect our brand, proprietary technology and other intellectual property, as well as to operate without infringing the intellectual property rights of third parties. We rely on a combination of patents, trademarks, copyrights, trade secrets and contractual protections, including license agreements, confidentiality obligations and invention assignment agreements, to protect our intellectual property and proprietary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one issued patent and 30 pending patent applications in the United States and abroad, generally relating to commerce systems and digital marketplaces. Our issued patent and any patents granted from pending applications are expected to expire between 2040 and 2045, subject to potential extensions or adjustments. We also rely on trade secrets to protect certain aspects of our business that are not suitable for patent protection, although such protections may be difficult to enforce.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protect our brand through trademark registrations and common law rights. As of December 31, 2025, we held 21 registered trademarks and 16 pending trademark applications in the United States, and 53 registered trademarks and 26 pending applications in non-U.S. jurisdictions. We also maintain registered domain names used in our business. While we take commercially reasonable measures to protect our intellectual property, these efforts may not be sufficient to prevent misappropriation or infringement.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make available, free of charge, through our investor relations website at investors.pattern.com, our filings with the Securities and Exchange Commission (“SEC”), including our annual reports on Form 10-K, quarterly reports on Form 10-Q, current reports on Form 8-K, proxy statements, information statements and amendments to reports filed or furnished pursuant to Sections 13(a), 14 and 15(d) of the Securities Exchange Act of 1934, as amended (the “Exchange Act”), as well as corporate governance information (including our Code of Business Conduct and Ethics). The SEC maintains a website at www.sec.gov that contains reports, proxy and information statements and other information regarding issuers that file electronically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communicate material information to investors and the public through SEC filings, press releases, conference calls, webcasts, or our investor relations website (investors.pattern.com). Information posted on our website could be deemed material to investors. Any reference to our website is intended to be an inactive textual reference only, and the information on our website is not, and shall not be deemed to be, a part hereof or incorporated into this or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in our Series A common stock involves a high degree of risk. You should carefully consider the risks and uncertainties described below, together with all of the other information in this Annual Report on Form 10-K, before making a decision to invest in our Series A common stock. If any of these risks actually occur, our business, results of operations, financial condition and prospects could be materially adversely affected. In that event, the trading price of our Series A common stock could decline, and you could lose part or all of your investment. Certain statements contained in the risk factors described below are forward-looking statements. See the section titled “Special Note Regarding Forward-Looking Statements” for more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consider before investing in our company. These risks are described more fully immediately following this summary. These risks include, but are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revenue is dependent upon maintaining our relationship with Amazon and other marketplaces and our failure to do so, or any restrictions on our ability to offer brand partners’ products on Amazon and other marketplaces, could have an adverse impact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technology relies in part on the use of comprehensive marketplace data, and if we lose the ability to use such data, or if such data contains inaccuracies, our business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Operational and performance issues with our technology, whether real or perceived, including a failure to respond to technological changes or to upgrade our technology systems, may adversely affect our business, financial condition and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are unable to continue to introduce new features or solutions successfully and to make enhancements to existing solutions including to participate effectively in evolving AI-enabled shopping experiences that bypass third-party marketplaces, our ability to grow and operate our business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source additional, or strengthen our existing relationships with, brand partners, and the loss of any significant brand partners would negatively impact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success depends on the continuing efforts of our co-founders and senior management team.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depend on highly-skilled personnel to grow and operate our business, and if we are unable to hire, retain and motivate our personnel, we may not be able to grow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highly dependent on the services of David Wright, our Chief Executive Officer and co-founder, and Melanie Alder, our Chief Strategy Officer and co-founder, who are married to each other. The separation or divorce of our co-founders in the future could adversely affect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do not adequately fund our research and development efforts, we may not be able to compete effectively and our business and operating results may be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are unable to accurately forecast consumer demand, manage our inventory and plan for future expenses, our business, financial condition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experienced rapid growth in recent periods and our recent growth rates may not be indicative of our future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manage our growth effectively, our business, financial condition and results of operations could be materially and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extensive laws and regulations and we may incur material liabilities or costs related to complying with existing or future laws and regulations, and our failure to comply may result in enforcements, penalties, recalls and other adverse 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Political, economic and financial instability and changes in international trade policies or tariffs, particularly between the United States and China, could have a material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a “controlled company” under the corporate governance requirements of Nasdaq Global Select Market (“Nasdaq”), and intend to avail ourselves of certain reduced corporate governance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dual series structure of our common stock and the existing ownership of capital stock by our co-founders and their affiliates have the effect of concentrating voting control with our co-founders and their affiliates for the foreseeable future, which will limit your ability to influence corporate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factors discussed below.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revenue is dependent upon maintaining our relationship with Amazon and other marketplaces and our failure to do so, or any restrictions on our ability to offer brand partners’ products on Amazon and other marketplaces, could have an adverse impact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almost entirely on our relationship with Amazon and other marketplaces for generating revenue and growth. For the year ended December 31, 2025, we derived 93% of our revenue from consumer product sales on Amazon. In the last three fiscal years, the United States accounted for a substantial majority of our total revenue. Any adverse change in our relationship with Amazon, including restrictions on the ability to offer products, termination of the relationship or disruption of Amazon’s business or operations because of litigation, regulatory or other proceedings, could adversely affect our continued growth,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depend on our ability to offer products on other marketplaces, such as Walmart, Target, Tmall, JD, eBay, TikTok Shop, Mercado Libre, Zolando, Kohl’s, Kroger, Macy’s and others. Marketplaces on which we sell our brand partners’ products may materially affect our sales and operating results if we don’t timely and adequately resolve account-related issues, including if such marketplaces: terminate or suspend our accounts; block or delay our shipments; block us or our brand partners from listing products; implement strategic shifts that impair our ability to sell products on their marketplace, such as imposing restrictions on our ability to sell in instances where the marketplace has a 1P relationship with the brand; change their policies, including with respect to remittances and payment terms and timing; introduce or enforce restrictions on website scraping; change one or more APIs such that they are no longer compatible with our technology, and increase their fees, which in turn could raise product prices for customers, making the marketplace a less attractive distribution channel for our brand partners and/or less profitable for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relationships with marketplaces are subject to their online terms of use, which are typically “click-through” agreements that we are not able to negotiate with the marketplaces. Generally, our relationships with marketplaces are terminable at will by either party. In addition, these marketplaces have significant discretion to change their policies, procedures and terms. Any such changes, or other limitations or restrictions on our ability to sell on a marketplace could have a material impact on our business, financial condition and results of operations. In the past, we have experienced account suspensions, changes in payment terms and increases in marketplace fulfillment fees. We cannot guarantee that similar or other issues will not arise in the future, nor that we will be able to timely and adequately resolve them. The terms of use that govern our relationships with marketplaces generally mandate that we resolve claims through final and binding arbitration. The rules and policies governing these arbitration proceedings may offer significantly limited rights compared to litigation in federal or state courts. Arbitration may not provide us with all the relief we could obtain outside of arbitration.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technology relies in part on the use of comprehensive marketplace data, and if we lose the ability to use such data, or if such data contains inaccuracies, our business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incorporates statistical models built using a variety of data sets. Our technology relies on a diverse range of data sources, including data collected from our customers, brand partners and, in some cases, website scraping, other data collected from marketplaces and other third parties and self-generated data, including novel data generated through machine learning. This data covers a wide variety of signals across millions of products, keywords, brands, consumer behavioral inputs and more, including search, advertising, fulfillment, content conversion rates, ratings and reviews, social media influencers, likes, shares, clicks and comments. Such data may have restrictions on how it may be used, including, for example, restrictions on the collection, use or other processing of data from certain jurisdictions. If we are unable to access and use data collected from our customers, marketplaces, the internet or other third-party data used in our technology, or if our access to such data is limited, for example, due to new or changing, or novel interpretations of, laws, rules or regulations or policies of third parties, including marketplaces, our ability to accurately make forecasts and evaluate consumer behavior could be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data obtained through scraping exposes us to several risks, including legal and regulatory challenges, such as potential violations of intellectual property rights, terms of service and data privacy laws. There is also an ethical and reputational risk if stakeholders perceive the use of scraped data as exploitative or unfair. Scraped data may be flawed or of inconsistent or poor quality, leading to inaccuracies in outputs. Additionally, we face the risk of operational disruption if we are forced to stop using scraped data due to legal issues or third-party actions, as well as the potential for litigation and liability from data providers or individuals whose data was scraped. Lastly, changes in third-party access restrictions or platform policies, including introduction or enforcement of stricter website scraping policies by marketplaces, could limit our ability to source data, hindering the development and effectiveness of our technology. There is no assurance that such measures will fully eliminate potential adverse impacts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third-party data used to train and improve our technology is inaccurate, or access to such third-party data is limited, prohibited or becomes unavailable to us, our ability to continue to improve our technology would be adversely affected. Although we believe that there are commercially reasonable alternatives available to the third-party data we currently license, this may not always be the case, or it may be difficult or costly to migrate to other third-party data. Our use of additional or alternative third-party data would require us to enter into license agreements with third parties. Emerging laws or regulations restricting use and sharing of third-party data may also reduce the value of such data for our business. In addition, integration of the third-party data used in our technology with new third-party data may require significant work and require substantial investment of our time and resources. Any of the foregoing could negatively impact our business, impair our ability to grow our customers and brand partners, subject us to financial liabilities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Operational and performance issues with our technology, whether real or perceived, including a failure to respond to technological changes or to upgrade our technology systems, may adversely affect our business, financial condition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upon the sustained and uninterrupted performance of our technology to, among other things, manage our inventory supply, purchase products from brand partners, optimize shipments to marketplaces, collect, process and interpret data, bid on advertising and monitor and optimize listings on marketplaces. If our technology cannot scale to meet demand, if there are errors in our execution of any of these functions on our technology or if we experience outages, then our business may be harmed. We may also face material delays in introducing new products to marketplaces or restocking existing products. If competitors introduce new products or services using new technologies or if new industry standards and practices emerge, our existing proprietary technology and systems may become less effective or obsolete.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is complex and multifaceted, and operational and performance issues could arise both from the technology itself and from outside factors. Errors, failures, vulnerabilities or bugs have been found in the past, and may be found in the future. Our technology also relies on third-party technology and systems to perform properly, and our technology is often used in connection with computing environments utilizing different operating systems, system management software, equipment and networking configurations, which may cause errors in, or failures of, our technology or such other computing environments. Operational and performance issues with our technology could include the failure of our user interface, outages, errors during upgrades or patches, unanticipated volume overwhelming our databases, server failure or catastrophic events affecting one or more server locations. While we have built redundancies in our systems, full redundancies do not exist. Some failures will shut our technology down completely, others only partially.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Operational and performance issues with our technology could also result in negative publicity, damage to our brand and reputation, loss of or delay in market acceptance of our technology, increased costs or loss of revenue, loss of the ability to access our technology, loss of competitive position or claims by brand partners for losses sustained by them. Alleviating problems resulting from such issues could require significant expenditures of capital and other resources and could cause interruptions, delays or the cessation of our business, any of which may adversely affect our financial condition and operating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continue to introduce new features or solutions successfully and to make enhancements to existing solutions including to participate effectively in evolving AI-enabled shopping experiences that bypass third-party marketplaces, our ability to grow and operate our business could be adversely affected.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brand partners and increase revenue depends in large part on our ability to enhance and improve our existing solutions and to introduce new features or solutions. To grow our business and be competitive, we must develop solutions, features and functionality that reflect the constantly evolving nature of technology including AI-driven commerce ecosystems and the needs of potential brand partners and our existing brand partners. The success of these and other enhancements or developments depend on several factors, including their timely introduction and completion, sufficient demand and cost effectiveness. Shifts in consumer behavior toward AI</w:t>
        <w:noBreakHyphen/>
        <w:t xml:space="preserve">enabled shopping assistants, agents,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embedded checkout that route discovery and purchase outside third</w:t>
        <w:noBreakHyphen/>
        <w:t>party marketplaces could reduce demand for our marketplace acceleration solutions and require us to develop new integrations, features and offerings to participate in such ecosystems. Adapting may require significant investments and re</w:t>
        <w:noBreakHyphen/>
        <w:t>architecture, and we may not achieve acceptable returns or execute quickly enough to maintain competitiveness. For example, the development of AI and machine learning technologies and products (collectively, “AI Technologies”) including AI shopping assistants, agents and embedded checkout experiences that bypass marketplaces or intermediate the path from discovery to purchase—could replace or diminish the value of our specialized expertise and technological tools, harming our business and making our solutions less durable. It is difficult to accurately predict the adoption of new features or solutions, and related shifts in consumer behavior, and the pace and direction of these shifts may occur more quickly than we anticipate,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solutions or to enhance our existing solutions or otherwise overcome technological challenges and competing technologies to gain market acceptance, including within AI</w:t>
        <w:noBreakHyphen/>
        <w:t>driven commerce ecosystems, then our business and results of operations could be adversely affected.</w: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source additional, or strengthen our existing relationships with, brand partners, and the loss of any significant brand partners would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purchase significant amounts of products from our brand partners and there can be no assurance that our current brand partners will maintain or increase these amounts or otherwise be able to accommodate our anticipated growth or continue to supply current quantities at current prices. An inability of our existing brand partners to provide products in a timely or cost-effective manner, including as a result of low inventories or supply chain challenges, could affect our revenue and materially and adversely affect our business, financial condition and results of operations. A variety of factors outside our control, including, failure by brand partners to effectively promote products or manage regulatory changes, negative publicity or damage to our brand partners’ reputation, product recalls, deterioration in product quality, changes in consumer preferences or trends, supply chain disruptions experienced by brand partners, availability of better or more affordable alternatives or technological advancements and innovation, could negatively affect our ability to strengthen our existing relationships with brand partners. For the year ended December 31, 2025, the health and wellness category accounted for 69% of our inventory purchases. For the year ended December 31, 2025, two brand partners in the health and wellness category accounted for 17% and 17% of our inventory purchases and contributed significantly to our growth in recent periods. The loss of these or any of our other significant brand partners or any change in pricing structure or volume with brand partners, including with respect to the health and wellness category, would have a negative impact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attract quality brand partners, we must: ensure a more seamless, consistent and low-friction collaboration model of acquiring inventory from brand partners; maintain our unique and scaled data assets; provide differentiated insights into producing traffic, conversion, price and availability insights, including by investing in and improving our AI Technologies, that we use to make data-driven decisions; provide technology that delivers brand partners a superior return on advertising spend; continue to enhance operations and fulfillment capabilities that leverage Pattern’s scale to minimize logistics and shipping costs associated with inbounding products to marketplaces; attract and retain a team of industry experts across marketing, fulfillment, customer service, brand protection and marketplace management; maintain our scale to provide comprehensive solutions across marketing, fulfillment, customer service and marketplace management on a global basis; identify and convert existing demand into sales; maintain consistent and cohesive brand positioning and customer experience across all ecommerce channels; convert one-time customers to repeat customers; continue to expand internationally, and provide high-quality customer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continually seek to expand our base of brand partners and to identify new products. If we are unable to identify or enter into agreements with new brand partners or to replace the loss of any of our existing brand partners, we may experience a competitive disadvantage, our business may be disrupted and our business, financial condition and results of operations may be adversely affected. Although we have long-term agreements with certain significant brand partners that do not permit termination for convenience, a substantial portion of our brand partner agreements provide termination for convenience upon 60 days’ notice.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brand partners’ contractual obligations to us, including with respect to reimbursing us for any advertising costs incurred in selling such brand partners’ products, performing their obligations with respect to promotions and buybacks, enforcing exclusivity provisions in our contracts, enforcing policies against unauthorized sellers and indemnifying us in connection with product recalls and liabilities. The insolvency of brand partners, including through bankruptcy, has in the past, and may in the future, impact our ability to collect amounts owed to us. We cannot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whether another seller of our brand partners’ products sells at a lower price than us or if brand partners fail to maintain a pricing or brand equity strategy across all distribution channels. If customers choose to purchase the product in another distribution channel, this could lead to lost sales revenue for us. Further, brand partners could also reduce their advertising spend at their discretion. In addition, disputes with respect to intellectual property of our brand partners could restrict our ability to list or sell the affected products on marketplaces. Any of the foregoing could materially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success depends on the continuing efforts of our co-founders and senior management team.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on the continuing efforts of our senior management team, including our co-founders, David Wright, our Chief Executive Officer, and Melanie Alder, our Chief Strategy Officer. We rely on the leadership, knowledge and experience that our senior management team provides. They foster our corporate culture, which has been instrumental in our ability to attract and retain new talent. The market for such positions is intensely competitive, which could increase our costs to attract and retain talented individuals. As a result, we may incur significant costs to attract and retain executive officers and other senior management personnel, including significant expenditures related to salaries and benefits and compensation expenses related to equity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 turnover, including changes in our management team, could disrupt our business. The loss of one or more of our executive officers or other key employees, especially our co-founders, including due to a leave of absence for medical reasons or otherwise, or the failure by our senior management team to effectively work together or with our employees and lead our company, or our inability to attract and retain highly skilled employees could have an adverse effect on our business, financial condition and operating results. We do not maintain key man life insurance with respect to any executive officer, including our co-founders.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on highly-skilled personnel to grow and operate our business, and if we are unable to hire, retain and motivate our personnel, we may not be able to grow effectively.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in part, upon our continued ability to identify and hire skilled personnel with the skills and technical knowledge that we require, including software design and programming, marketing, sales, brand management, data science, AI, operations, international commerce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with new products and brand partners and in new territories. We may lose new employees to our competitors or other companies before we realize the benefit of our investment in recruiting and training them. In addition to hiring new employees, we must continue to focus on developing, motivating and retaining our best employees across the globe, most of whom are at-will employees. If we fail to identify, recruit and integrate strategic personnel hires, our business, financial condition and results of operations could be adversely affected. Further, inflationary pressure may result in employee attrition to the extent our compensation does not keep up with inflation. Additionally, the failure to continue hiring new personnel or the loss of any significant number of our existing key personnel could harm our business, financial condition and results of operations.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We have a number of current employees whose equity in our company substantially vested upon the completion of our initial public offering (“IPO”), but whose equity had been restricted from trading through the completion of a lock-up period which is expected to end at the opening of trading on March 9, 2026. As a result, it may be difficult for us to continue to retain and motivate these employees, and the value of their holdings could affect their decisions about whether or not they continue to work for us. If the perceived value of our equity awards declines or experiences significant volatility (including as valuations of companies comparable to us decline due to overall market trends, inflation and related market effects or otherwise) such that prospective and existing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Our ability to attract, retain and motivate employees may be adversely affected by declines in the market price of our Series A common stock. Additionally, we have less experience with recruiting in geographies outside the United States and may face additional challenges in attracting and retaining international employees. If we are not able to effectively add and retain employees, our ability to achieve our strategic objectives will be adversely impacted, and our business and future growth prospects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highly dependent on the services of David Wright, our Chief Executive Officer and co-founder, and Melanie Alder, our Chief Strategy Officer and co-founder, who are married to each other. The separation or divorce of our co-founders in the future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services of David Wright, our Chief Executive Officer and co-founder, and Melanie Alder, our Chief Strategy Officer and co-founder, who are married to each other. If Mr. Wright or Ms. Alder were to discontinue their service to us due to death, disability or any other reason, or if they were to become separated or divorced or could otherwise not amicably work with each other, we would be significantly disadvantaged. In addition, their work performance may not be satisfactory if they become preoccupied with personal matters. Mr. Wright and Ms. Alder, through their beneficial ownership of all of our Series B common stock, together with the Series A common stock held by their affiliated co-founder trusts, control approximately 86.4% of the total combined voting power of our capital stock. Mr. Wright and Ms. Alder entered into a co-founder voting agreement in connection with our IPO pursuant to which each of them granted each other a voting proxy with respect to their individual and affiliated entities’ (other than the co-founder trusts) shares of our common stock, representing approximately 73.7% of the voting power of our common stock, and agree to vote their shares (a) 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 meeting of stockholders at which any co-founder is to be removed from our board of directors and (c) at the written direction of the applicable co-founder proxy holder (as 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However, if Mr. Wright and Ms. Alder become separated or divorced, a court may refuse to enforce or terminate the co-founder voting agreement, and Mr. Wright and Ms. Alder could elect to terminate the co-founder voting agreement voluntarily at any time. As a result, if neither one of them individually controls more than 50% of the voting power of our capital stock we could lose our “controlled company” status. Further, their interests may diverge as a result of divorce or separation. In these cases, our business could be materially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adequately fund our research and development efforts, we may not be able to compete effectively and our business and operating results may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remain competitive, we must continue to enhance the features of our technology. Maintaining adequate research and development personnel and resources to meet the demands of the market is essential. If we are unable to develop our technology due to certain constraints, such as high employee turnover, lack of management ability or a lack of other research and development resources, we may miss market opportunities. Further, many of our competitors expend a considerable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on our ability to improve the function, performance and reliability of our technology. The development of new and upgraded solutions involves a significant amount of time for our research and development team, as it can take our developers months to update, code and test new and upgraded software and integrate them into our technology. The introduction of new and upgraded design features and software also involves a significant amount of marketing spending. We must also manage our existing technology, as we continually test, grow and use our technology to support the distribution of our brand partners’ products. Our revenues and competitive position could be materially and adversely affected if we fail to improve our design features 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accurately forecast consumer demand, manage our inventory and plan for future expenses, our business, financial condition and results of operations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base our current and future inventory needs and expense levels on our operating forecasts and estimates of future consumer demand. To ensure adequate inventory supply, we must be able to forecast inventory needs and expenses and place orders sufficiently in advance with our brand partners based on our estimates of future consumer demand for the products we sell. Failure to accurately forecast demand may result in inefficient inventory supply or increased costs. This risk may be exacerbated by the fact that we may not carry a sufficient amount of inventory and may not be able to satisfy short-term demand increases. Accordingly, if we fail to accurately forecast customer demand, we may experience excess inventory levels, a shortage of products available for sale and loss of profits. Inventory levels in excess of customer demand may result in inventory write-downs or write-offs or the sale of excess inventory at suboptimal prices, which would cause our operating results to suffer. Conversely, if we underestimate customer demand, including as a result of unanticipated growth, our brand partners may not be able to deliver products to meet our requirements, and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higher costs in order to secure the necessary production capacity or we may incur increased shipping costs. An inability to meet customer demand and delays in the delivery of our brand partners’ products to our customers could result in reputational harm for our brand partners, damage our customer relationships and brand partner relationships, harm our cash flows and prospects for growth and have an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devote significant attention to forecasting efforts, the volume, timing and value of the orders we receive are inherently uncertain. In addition, we cannot be sure growth rates, trends and other key performance metrics are meaningful predictors of future growth. Our business, as well as our ability to forecast demand, is also affected by general global economic and business conditions and the degree of consumer confidence in future economic conditions, and we anticipate that our ability to forecast demand due to these types of factors will be increasingly affected by conditions in international markets.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and our recent growth rates may not be indicative of our future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always able to accurately forecast our growth rate. We base our expense levels and investment plans on revenue estimates. A significant portion of our expenses and investments are fixed, and we are not always able to adjust our spending quickly enough if our revenue is less than expected. Our revenue growth may not be sustainable, and our growth rates may decrease. Our revenue and profitable growth depends on the continued growth of demand for our brand partners’ products and our solutions, and our business is affected by, among other things, general economic, business and geopolitical conditions worldwide. A softening of demand, whether caused by a weakening of the United States or global economies, may result in decreased revenue or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and operating results will also fluctuate for many other reasons, including due to factors described elsewhere in this section and the following: our ability to collect, process and interpret comprehensive ecommerce and consumer data; our ability to attract and retain a global team of industry experts across marketing, fulfillment, customer service, data science, software development, marketplace compliance and marketplace management; our ability to maintain the security, reliability and integrity of our technology; timing, effectiveness and costs of expansion and upgrades to our software; the extent to which use of our technology is affected by spyware, viruses, phishing and other spam emails, denial of service attacks, data theft, computer intrusions, outages and similar events; our ability to invest in technology and infrastructure, fulfillment and shipping capabilities and other expense categories; our ability to retain and expand our network of brand partners; our ability to attract and retain mid-market brand partners; our ability to successfully expand our brand partners into new geographies; our ability to attract new brand partners in new and existing geographies, segments and verticals; our brand partners’ discretionary advertising spend allocated to the products we sell; our ability to accelerate products effectively, including by maintaining or increasing our margins, so that we are able to attract and retain brand partners without compromising profitability; our ability to enhance our software-as-a-service (“SaaS”) solutions; changes in consumer trends and preferences; the success of our geographic, solutions, product and category expansions; our ability to offer products on favorable terms and manage order fulfillment and our inventory; variations in the level of returns for the products we sell; variations in the mix of products and services we sell; a decline in category sales volume or prices of specific products or categories, including with respect to health and wellness; our ability to retain and increase sales to existing customers, including with respect to health and wellness products, attract new customers and satisfy customer demands and preferences; our ability to maintain service levels and consistent quality; changes in usage or adoption rates of the internet, ecommerce, electronic devices and web services, including outside the United States; our ability to successfully compete against our current and future competition, including the introduction of competitive ecommerce acceleration, marketplace stores, products, point software solutions, services, price decreases or improvements; shifts in consumer trends away from ecommerce to brick-and-mortar; outcomes of ongoing antitrust investigations and actions initiated against marketplaces; adoption or expansion of trade restrictions, the occurrence of a trade war or other restrictive governmental action related to tariffs or trade agreements or policies, or events that otherwise impact the movement of goods, including with respect to United States and China; our ability to comply with existing and new applicable laws and regulations, including changing tax rates and tariffs; changes in regulations or marketplace policies that restrict the sale of specific categories, including health and wellness; outcomes of legal proceedings and claims, which may include significant monetary damages or injunctive relief and could have a material adverse impact on our operating results; our ability to adjust fixed costs in a timely manner to address any unexpected revenue shortfalls, including those arising from weakened global economic conditions and negative consumer confidence regarding future economic conditions; our ability to collect amounts owed to us when they become due; new and existing technologies or industry trends which restrict online advertising, affect our ability to customize advertising or otherwise optimize our technology; our ability to maintain our unique culture of innovation, brand partner obsession and long-term thinking, which has been critical to our growth and success; our ability to secure financing, and the terms of any such financing, for our current operations and future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factors affecting our reputation or brand image (including any actual or perceived inability to achieve our goals or commitments, whether related to brand partners, customers, employees or other topics), and public perceptions regarding social or ethical issues related to our development and use of AI Technologies; availability of and increases in the prices of transportation (including fuel), resources such as land, water and energy, commodities like paper, packing supplies, hardware products and technology infrastructure products, including as a result of inflationary pressures; and constrained labor markets, which increase our payroll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manage our growth effectively, our business, financial condition and results of operations could be materially and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manage our growth effectively, we must continue to implement our operational plans and strategies, improve and expand our infrastructure of people and information systems and expand, train and manage our employee base. We have rapidly increased employee headcount since our inception to support the growth in our business. To support our continued growth, we must effectively integrate, develop and motivate a large number of new employees. We face significant competition for personnel, including in the Cincinnati, Ohio and Las Vegas, Nevada areas for warehouse labor. We face challenges to find and attract talent in the Lehi, Utah area, where our headquarters are located. In addition, we rely on our talent center in Pune, India to provide scalable technical support. We could face a significant increase in competition and costs to hire technical personnel in India. Failure to manage our hiring needs effectively or successfully integrate our new hires may have a material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support our growth, we expect to make significant sales and marketing expenditures to increase our revenue, increase awareness of our brand partners and introduce additional brand partners’ products. We expect to incur significant research and development expenses to increase the functionality of our technology. A significant portion of our investments in our sales and marketing and research and development activities will precede the benefits from such investments, and we cannot be sure that we will receive an adequate return on our investments. In the future, we may shift significant resources to SaaS solutions. Brand partners might choose to subscribe to these SaaS solutions instead of using our ecommerce acceleration solution. However, we cannot guarantee that SaaS solutions will generate sufficient revenue and profitability to offset any loss of opportunities from our ecommerce acceleration solution. Consequently, this shift could adversely affect our revenue and growth. You should not consider our revenue growth and levels of profitability in recent periods as indicative of future performance. In future periods, our revenue or profitability could decline or grow more slowly than we expect.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growth of our business places significant demands on our management and other employees. We are required to manage relationships with a growing number of brand partners, customers and other third parties. Our information technology systems and our internal controls and procedures may not be adequate to support future growth of our customer or brand partner base. If we are unable to manage the growth of our organization effectively, our business, financial condition and results of operations may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rely on a small number of third-party service providers to host or support a significant portion of our business, and any loss of or interruptions or delays in services from these third parties could impair the delivery of our solutions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host and support our operations using third-party service providers, including Amazon Web Services. We also rely on a small number of third-party service providers including SaaS platforms to operate critical functions of our business, including payment processing, collection of comprehensive ecommerce and consumer data, data storage services, cloud-based data warehousing and content creation. We do not have control over the operations of the facilities of the hosting providers that we use, and these third-party operations may experience break-ins, computer viruses, denial-of-service or other cyber-attacks, sabotage, acts of vandalism and other misconduct.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onboard new brand partners or expand the products offered to consumers,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technology for any of the foregoing reasons would negatively impact our ability to perform critical business functions and could damage our reputation with consumers and brand partners, expose us to liability, cause us to lose brand partners, increase our expenses, negatively impact our ability to manage sales of our brand partners’ products and access or save data stored to the cloud, which could otherwise harm our business. We may also incur significant costs for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alternative equipment or taking other actions in preparation for, or in reaction to, events that damage the third-party service providers we use.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our hosting providers’ service levels may adversely affect our ability to meet the expectations of brand partners and customers. Our systems do not provide complete redundancy of data storage or processing, and as a result, the occurrence of any such event, a decision by our third-party service providers to close their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solutions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In addition, if we are unable to scale our data storage and computational capacity sufficiently or on commercially reasonable terms, our ability to innovate and introduce new products may be delayed or compromised, which would have an adverse effect on our growth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 parties engaged by our brand partners to prevent unauthorized sellers from distributing their products. If these third parties fail to prevent unauthorized selling or are no longer able to provide these services or fail to sufficiently provide these services, it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and we may be unable to sustain profitability or generate profitable growth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generated net income in prior periods, including net income of $16 million and $68 million for the years ended December 31, 2025 and 2024, respectively, we have experienced net losses in prior periods, including a net loss of $3 million for the year ended December 31, 2022. We may not maintain profitability in the future. We will need to sustain or increase revenue while managing our costs to sustain or increase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efforts to maintain and increase our profitability may not succeed due to factors such as increased costs due to inaccurate sales forecasting, inaccurate inventory forecasting and impairment charges for write-downs of goodwill, intangible assets, investments and other long-lived assets. As we continue to innovate and expand our solutions, we may initially harm our profitability. In addition, as a public company, we have incurred, and will continue to incur significant legal, accounting and other expenses that we did not incur as a private company. Further, our revenue growth may slow or our revenue may decline for a number of reasons, including those described in these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properly develop, invest in and manage AI Technologies used in our solutions, our business, financial condition and results of operations could be materially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incorporated, and expect in the future we will continue to incorporate, AI Technologies into our solutions. We power our solutions with AI Technologies that help us and our brand partners achieve data insights faster. For example, we leverage machine learning algorithms in certain features to aid brand partners in analyzing their product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solutions or business, including our efficiency or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AI Technologies licensed from third parties to power our technology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use of new and evolving technologies, including AI Technologies,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continue to use and integrate AI Technologies into our business processes, and this innovation presents risks and challenges that could affect its adoption, and therefore our business. Development, use and deployment of these technologies could pose cybersecurity, data privacy, IT, intellectual property, regulatory, legal, operational,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Uncertainty around new and emerging AI applications such as generative AI content creation may require additional investment in the development of proprietary data 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Technologies,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brand partners or others use this flawed content to their detriment, we may be exposed to brand or reputational harm, competitive harm or legal liability. Developing, testing and deploying AI Technologies may also increase our costs due to the nature of the compute power costs involved in such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enable or offer solutions that draw controversy due to perceived or actual negative societal impact, we may experience brand or reputational harm, competitive harm or legal liability.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(“AI Act”) — the world’s first comprehensive AI law — entered into force in August 2024 and, with some exceptions, will begin to apply as of August 2, 2026. This legislation imposes significant obligations on providers and deployers of high-risk AI systems, and encourages providers and deployers of AI systems to account for European Union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AI regulatory environment is complex and uncertain. Over the past year, states have advanced, and in some cases passed, a variety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including in connection with targeted advertising and regulated sectors that may impact the services we provide to our brand partners or customers. We or our customers when using our services may need to meet various standards of data quality, transparency, monitoring and human oversight, which could introduce cost and compliance risk that could adversely affect our or our customers’ or brand partners’ use of our AI-related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rapid evolution of AI will require the application of significant resources to design, develop, test and maintain our solutions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confidential, sensitive, proprietary and business and personal information (collectively, “confidential information”) and intellectual property.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changes in marketplace return or refund policies, our ability to recover return or refund reimbursements, brand contractual arrangements or delays in processing returns or refunds could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Typically, marketplaces reimburse us for any loss or damage to products while those products are in marketplace control. We are responsible for the risk associated with customer product returns or refunds. However, most of our brand partners are contractually obligated to reimburse us for any products that customers damage or return, but we are responsible for billing for such reimbursements. Any change in marketplace policies, our ability to bill or recover reimbursement costs or our brand partners’ agreements with us regarding these reimbursements could adversely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profits. We and our brand partners would be adversely affected by an uptick in customer returns. Additionally, we are dependent on the marketplaces to track and process these reimbursements. Any deficiencies in the marketplaces’ ability to process these reimbursements could impact our profits. If product returns or refunds are significant or higher than anticipated and forecasted,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product liability claims when people or property are harmed by the products we sell.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products we sell expose us to product liability claims relating to personal injury, illness, death or environmental or property damage, including, but not limited to, those that may arise from off-label use, malfunctions, design flaws or manufacturing defects related to our brand partners’ products or the use of our brand partners’ products with incompatible components or systems. In addition, as we continue to expand our product mix, we may enter or create new markets which may expose us to additional product liability risks. Regardless of the merits or eventual outcome, liability claims may result in decreased demand for our current or future products, injury to our reputation, costs to defend the related litigation, a diversion of management’s time and our resources, substantial monetary awards to customers, regulatory investigations, product recalls, withdrawals or labeling, marketing or promotional restrictions, loss of revenue and the inability to sell our current or any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agreements with brand partners stipulate that they list us as an additional insured on their insurance policies and indemnify us against all product liability claims, we also maintain our own insurance policies to cover such claims. Additionally, certain marketplaces reimburse our customers for certain product liability claims up to certain limits pursuant to their policies. Failure by third parties to fulfill their contractual obligations regarding insurance coverage and indemnification could lead to legal actions or claims against us, potentially resulting in financial losses. Additionally, we may incur expenses, or be subject to liability, related to the transportation, storage or disposal of our brand partners’ products including under any federal, state, local and foreign laws and regulations. Although we maintain liability insurance, we cannot be certain that our coverage will be adequate for liabilities actually incurred or that insurance will continue to be available to us on economically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Food and Drug Administration (“FDA”), does not pre-approve products or the labeling of certain products we sell, so it has not approved, nor has it reviewed or approved any claims our brand partners make related to our brand partners’ products. If the FDA or any other governmental authority were to take issue with any of the ingredients used in our brand partners’ products, the claims brand partners make about their products or other aspects of our brand partners’ product labeling, such as components of their facts panel, or require that they change or cease making certain claims or otherwise alter marketing strategy, we may be unable to sell our inventory and we could experience a material adverse effect on our business, financial condition, results of operations and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illegal distribution and sale by third parties of counterfeit versions of our brand partners’ products or the unauthorized diversion by third parties of our brand partners’ products could have an adverse effect on our revenue and a negative impact on our reputation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have in the past and may in the future illegally distribute and sell counterfeit versions of our brand partners’ products. These counterfeit products may be inferior in terms of quality and other characteristics compared to our original products and the counterfeit products could pose safety risks that our original products would not otherwise present to consumers. Consumers could confuse counterfeit products with brand partners’ original products. All of these events, separate or combined, could damage or diminish the image, reputation or value of us and our brand partners and cause customers to refrain from purchasing the products we sell in the future, which could adversely affect our reputation,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ability to successfully drive digital traffic to our product listings on marketplaces. We may not be able to maintain and enhance our product listings if we receive unfavorable customer complaints, negative publicity or otherwise fail to live up to customer expectations, which could materially adversely affect our business, results of operations and growth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and enhancing our product listings is critical in expanding and growing our business. However, consumers perceive our performance not only based on our listing but also based on third parties outside of our control, including brand partners, third-party delivery agents and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Customer complaints or negative publicity about the products we sell, delivery times, data handling and security practices, customer support or marketing strategies, even if not accurate, especially on blogs, social media websites and marketplaces, could rapidly and severely diminish customers’ view of our product listings and result in harm to our brand partners and our brand. Third parties have in the past and may in the future disseminate false, deceiving and harmful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rhetoric about our business. Customers may also make safety-related claims regarding products sold through marketplaces, which may result in the temporary or permanent removal of product listings from marketplaces. We have from time to time experienced such removals, and such removals may materially impact our financial results depending on the product listing that is removed and length of time that it is removed.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accurately predict customer demand or effectively optimize and manage our logistics and customer service operations could lead to either excess or insufficient capacity, increased costs and potential impairment charges, all of which could materially harm our business. As we expand our logistics and customer service capabilities or introduce new products with varying requirements, the complexity of our operations increases, making them more challenging to manage. We cannot guarantee that we will be able to maintain operational efficiency as we scale.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offer high-quality customer support or are unable to achieve or maintain a high level of customer satisfaction, demand for our brand partners’ products could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future revenue growth depends, in part, on our ability to provide customers with quality service that meets or exceeds our customers’ evolving needs and expectations, and is conducive to our ability to continue to sell our brand partners’ products to customers. The importance of high-quality customer support will increase as we expand our business. We are not always able to provide our customers with this level of service, and our customers occasionally encounter challenges in our customer support, including as a result of human error, outages, errors or bugs in our technology or third-party software. Our ability to provide effective and timely support is largely dependent on our ability to attract and retain skilled employees who can support our customers and are sufficiently knowledgeable about the products and our solutions. As we continue to grow our business and improve our solutions, we will face challenges related to providing quality support at an increased scale. If we do not help our customers quickly resolve issues and provide effective ongoing support or are unable to achieve or maintain a high level of customer satisfaction, we could experience more complaints from customers, brand partners ending their relationship with us, lower than expected repeat purchases, disputes and additional costs or negative publicity, any of which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third-party transportation vendors, last mile carriers and marketplaces to ship and deliver our customers’ orders.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third parties, such as our transportation vendors, last mile carriers and marketplace fulfillment networks, to deliver products to our customers.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adverse weather conditions, human-caused disasters or accidents, local and federal regulations, taxes, license and registration fees, insurance premiums, geopolitical events and security issues, labor or trade disputes or other adverse changes related to such third-party services could increase our costs and disrupt our operations and our ability to deliver products to our customers on the timing they expect or at all. Further, we rely on the business continuity plans of these third parties to maintain operations during such events, but we have limited control over their plans. As a result, we may be unable to prevent delays, cost increases or disruptions caused by reduced availability, capacity constraints or heightened safety measures. We may also experience shipping delays or disruptions due to other carrier-related issues relating to their own internal operational capabilities. The failure of our shipping partners to provide quality customer service when delivering products to us or our customers could negatively impact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will also depend, in part, on our ability to build and maintain relationships with these vendors and marketplaces on commercially reasonable terms. For example, we rely on marketplaces for fulfillment and delivery of many of our brand partners’ products to customers. Our agreements with brand partners generally require our brand partners to cover increases in marketplace fulfillment fees, which marketplaces have previously changed, and can in the future change, in their discretion. If marketplace fulfillment fees materially increase and our brand partners fail to meet their obligation to cover these costs, our margins would be negatively impacted. If we are unable to build and maintain such relationships on commercially reasonable terms, we may need to procure alternatives, which may be time consuming, costly or result in disruptions in our business or increased costs to our brand partners. Even if we are able to build and maintain such relationships, if these third parties are unable to deliver their services on a timely basis, customers and marketplaces could become dissatisfied, which would adversely affect our revenue, reputation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international operations, in certain countries we rely on third-party logistics and cross-docking partners to collect, sort and prepare for cross-border shipping of brand partners’ products. We may generally employ a single provider of cross-docking services in our outbound markets to the extent the number of alternative providers and minimum volume requirements imposed by such providers are relatively low. Our ability to ship products in a timely manner is dependent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ability to secure third-party logistics and cross-docking services and in the event that we cannot secure them in specific geographies or are unable to secure them at competitive prices or with adequate service reliability and availability, our operations may be adversely affected. Moreover, if a third-party logistics or cross-docking service provider fails to provide the service, our operations will be adversely affected until such time that we are able to shift to an alternative provider.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operational disruptions to our transportation vendors, our inability to negotiate competitive rates with such vendors or our inability to switch to alternative vendors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variability in our business places increased strain on our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Demand for the products we sell can fluctuate significantly for many reasons, including as a result of seasonality, holiday season and other peak events, promotions, product launches, advertising spend or unforeseeable events, such as in response to global economic conditions including recessionary fears or rising inflation, natural or human-caused disasters, extreme weather or geopolitical events. Our failure to stock or restock products in sufficient amounts such that we fail to meet customer demand could significantly affect our revenue and our future growth. When we overstock products, we may be required to take significant inventory markdowns or write-offs and incur commitment costs, which could materially reduce profitability. In addition, we may be unable to adequately staff our logistics network and customer service centers during these peak periods and may be unable to meet the seasonal demand. Risks described elsewhere relating to logistics network optimization and inventory are magnified during periods of high demand.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brand partners to fund the advertising of the products we sell. As a result of fluctuations in marketing budgets in the beginning of the fiscal year or from quarter to quarter, some brand partners may not be able to allocate proper funds to advertising spend which could result in lower sales of the product.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compete successfully against current and future competitors.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competition in various aspects of our business and we expect such competition to grow in the future. Ecommerce is highly competitive and brands have a number of options to execute their ecommerce strategy. Brands could grow their ecommerce business themselves, marketplaces could directly offer brands’ products and existing tools and service providers could focus on implementing an ecommerce acceleration model. Other third-party sellers may secure better terms from our brand partners, adopt more aggressive pricing, undercut retail prices in an effort to increase their market share and devote more resources to technology, infrastructure, fulfillment, advertising and marketing. In addition, other third-party sellers may leverage their distribution networks, or brands could engage in direct sales on marketplaces, allowing them to implement more aggressive pricing strategies and offer more attractive sales terms. This could cause us to lose sales opportunities or force us to sell our inventory at lower prices. The internet facilitates competitive entry and comparison shopping, which enhances the ability of new, smaller or lesser-known businesses to compete against us. As a result, our potential competitors may be able to develop products and services that may be able to respond more quickly and effectively than we can to new or changing opportunities, technologies or regulations. Our business model may not be successful, we may fail to gain or may lose business and we may be required to increase our spending or lower prices to remain competitive. If we cannot compete successfully against current and future competitors, our business, results of operations and financial condition could be negatively impacted.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continues to intensify, including with the development of new business models and the entry of new and well-funded competitors and as our competitors enter into business combinations or alliances and established companies in other market segments expand to become competitive with our business. Further, shifts in consumer trends away from ecommerce to brick-and-mortar could adversely affect our revenue and growth. In addition, new and enhanced technologies, including applications of AI and machine learning, may in the future influence brand partners to choose to develop their own solutions and no longer rely on us for distribution of their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procure third-party insurance policies to cover various operations-related risks, including products liability, cargo liability, workers’ compensation, cybersecurity and data breaches, directors’ and officers’ liability and general professional liability. For certain types of business risk, we may not be able to, or may choose not to, acquire insurance. In addition, we may not obtain enough insurance to adequately mitigate such operations-related risks, and we may have to pay high premiums, co-insurance, self-insured retentions or deductibles for the coverage we do obtain. We rely on a limited number of insurance providers, and should such providers discontinue or increase the cost of coverage, we cannot guarantee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high premiums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severity or number of claims under our deductibles or self-insured retentions differs from historical averages.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local laws, rules and regulations relating to insurance coverage which could result in proceedings or actions against us by governmental entities or others. Any failure or perceived failure by us to comply with existing or future local laws, rules and regulations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suffers when we are unsuccessful in making, integrating and maintaining acquisitions and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acquired and invested in a number of companies and we may in the future acquire or invest in or enter into joint ventures with additional companies. Acquisitions involve numerous risks, any of which could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or material delay in closing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vendors, brand partners and customers, as applicable,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challenges with integrating the brand identity of an acquired company with our own;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disruptions to our ongoing business, diversion of resources, increases to our expenses and distraction of our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impacts to our financial results as a result of incurring charges or assuming substantial debt or other liabilities, adverse tax consequence or unanticipated accounting treatment, exposure to claims and disputes by stockholders and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do not approve our acquisitions or business combinations or delay such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services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be adversely affected by changes in foreign currency exchange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and customer base are currently concentrated in the United States. Therefore, we currently have limited foreign currency diversification and exposure. However, our foreign currency diversification and exposure may increase as international sales of our brand partners’ products increase over time. As a result, our revenue and profits generated by any non-U.S. operations may fluctuate from period to period as a result of changes in foreign currency exchange rates. In addition, we may become subject to exchange control regulations that restrict or prohibit the conversion of our other revenue currencies into U.S. dollars. Any of these factors could decrease the value of revenue and profits we derive from our non-U.S. operations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seek to reduce our exposure to fluctuations in foreign currency exchange rates through the use of hedging arrangements. To the extent that we hedge our foreign currency exchange rate exposure, we forgo the benefits we would otherwise experience if foreign currency exchange rates changed in our favor. There can be no assurances that our hedging or other strategic techniques will mitigate the risks associated with such fluctuations, and our currency exchange rate risk management activities could expose us to substantial losses if such rates change materially from what we expect.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raise capital in the future may be limited, and our failure to raise capital when needed could prevent us from growing.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could be required to raise capital through public or private financing or other arrangements. Such financing may not be available on acceptable terms or at all, and our failure to raise capital when needed could harm our business. We may sell Series A common stock, convertible securities and other equity securities in one or more transactions at prices and in a manner as we may determine from time to time. If we sell any such securities in subsequent transactions, investors in our Series A common stock may be materially diluted. New investors in such subsequent transactions could gain rights, preferences and privileges senior to those of holders of our Series A common stock. Debt financing, if available, may involve restrictive covenants and could reduce our operational flexibility or profitability. If we cannot raise funds on acceptable terms, we may be forced to raise funds on undesirable terms, our business may contract or we may be unable to grow our business or respond to competitive pressures, any of which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Restrictions in our revolving credit facility could adversely affect our operating flexibility.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revolving credit facility </w:t>
      </w:r>
      <w:r>
        <w:rPr>
          <w:rFonts w:ascii="Times New Roman;serif" w:hAnsi="Times New Roman;serif"/>
          <w:b w:val="false"/>
          <w:color w:val="000000"/>
          <w:sz w:val="20"/>
          <w:shd w:fill="FFFFFF" w:val="clear"/>
        </w:rPr>
        <w:t xml:space="preserve">provides for non-amortizing revolving loans in the aggregate principal amount of up to </w:t>
      </w:r>
      <w:r>
        <w:rPr>
          <w:rFonts w:ascii="Times New Roman;serif" w:hAnsi="Times New Roman;serif"/>
          <w:b w:val="false"/>
          <w:color w:val="000000"/>
          <w:sz w:val="20"/>
        </w:rPr>
        <w:t>$150 million</w:t>
      </w:r>
      <w:r>
        <w:rPr>
          <w:rFonts w:ascii="Times New Roman;serif" w:hAnsi="Times New Roman;serif"/>
          <w:b w:val="false"/>
          <w:color w:val="000000"/>
          <w:sz w:val="20"/>
          <w:shd w:fill="FFFFFF" w:val="clear"/>
        </w:rPr>
        <w:t>, and with an additional option to increase the aggregate principal amount up to $250 million under certain conditions subject to lender approval.</w:t>
      </w:r>
      <w:r>
        <w:rPr>
          <w:color w:val="000000"/>
        </w:rPr>
        <w:t xml:space="preserve"> </w:t>
      </w:r>
      <w:r>
        <w:rPr>
          <w:rFonts w:ascii="Times New Roman;serif" w:hAnsi="Times New Roman;serif"/>
          <w:b w:val="false"/>
          <w:color w:val="000000"/>
          <w:sz w:val="20"/>
          <w:shd w:fill="FFFFFF" w:val="clear"/>
        </w:rPr>
        <w:t xml:space="preserve">The revolving line of credit bears interest at a variable base rate plus an applicable margin ranging from </w:t>
      </w:r>
      <w:r>
        <w:rPr>
          <w:rFonts w:ascii="Times New Roman;serif" w:hAnsi="Times New Roman;serif"/>
          <w:b w:val="false"/>
          <w:color w:val="000000"/>
          <w:sz w:val="20"/>
        </w:rPr>
        <w:t>0.50% to 2.00%</w:t>
      </w:r>
      <w:r>
        <w:rPr>
          <w:color w:val="000000"/>
          <w:shd w:fill="FFFFFF" w:val="clear"/>
        </w:rPr>
        <w:t xml:space="preserve"> </w:t>
      </w:r>
      <w:r>
        <w:rPr>
          <w:rFonts w:ascii="Times New Roman;serif" w:hAnsi="Times New Roman;serif"/>
          <w:b w:val="false"/>
          <w:color w:val="000000"/>
          <w:sz w:val="20"/>
          <w:shd w:fill="FFFFFF" w:val="clear"/>
        </w:rPr>
        <w:t xml:space="preserve">and matures in </w:t>
      </w:r>
      <w:r>
        <w:rPr>
          <w:rFonts w:ascii="Times New Roman;serif" w:hAnsi="Times New Roman;serif"/>
          <w:b w:val="false"/>
          <w:color w:val="000000"/>
          <w:sz w:val="20"/>
        </w:rPr>
        <w:t>September 2030</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Our revolving credit facility limits our ability to,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certain investments and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certain liens or permit them to exist;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enter into certain types of transactions with affiliates;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merge or consolidate with another company;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transfer, sell or otherwise dispose of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are required to maintain compliance as of the end of each calendar quarter with the following financial covenants: (i) a consolidated fixed charge coverage ratio on a trailing 12-month basis of no less than 1.25 to 1.00; and (ii) a consolidated net leverage ratio on a trailing 12-month basis not greater than 4.00 to 1.00. The provisions of our revolving credit facility may affect our ability to obtain future financing and to pursue attractive business opportunities and our flexibility in planning for, and reacting to, changes in business conditions. As a result, restrictions in our revolving credit facility could adversely affect our business, financial condition and results of operations. In addition, a failure to comply with the provisions of our revolving credit facility could result in a default or an event of default that could enable our lenders to declare the outstanding principal of that debt, together with accrued and unpaid interest, to be immediately due and payable. If the payment of outstanding amounts under our revolving credit facility is accelerated, our assets may be insufficient to repay such amounts in full, and holders of our Series A common stock could experience a partial or total loss of their investment.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had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outstanding borrowings under our </w:t>
      </w:r>
      <w:r>
        <w:rPr>
          <w:rFonts w:ascii="Times New Roman;serif" w:hAnsi="Times New Roman;serif"/>
          <w:b w:val="false"/>
          <w:color w:val="000000"/>
          <w:sz w:val="20"/>
        </w:rPr>
        <w:t xml:space="preserve">revolving credit facility and were in compliance </w:t>
      </w:r>
      <w:r>
        <w:rPr>
          <w:rFonts w:ascii="Times New Roman;serif" w:hAnsi="Times New Roman;serif"/>
          <w:b w:val="false"/>
          <w:color w:val="000000"/>
          <w:sz w:val="20"/>
          <w:shd w:fill="FFFFFF" w:val="clear"/>
        </w:rPr>
        <w:t xml:space="preserve">with the financial covenants thereunder. </w:t>
      </w:r>
      <w:r>
        <w:rPr>
          <w:rFonts w:ascii="Times New Roman;serif" w:hAnsi="Times New Roman;serif"/>
          <w:b w:val="false"/>
          <w:color w:val="000000"/>
          <w:sz w:val="20"/>
        </w:rPr>
        <w:t>See the section titled “Management’s Discussion and Analysis of Financial Condition and Results of Operations—Liquidity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international operations subject us to additional costs and risks that can adversely affect our business, financial condition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Brand partners utilize our platform to power their ecommerce acceleration across more than 100 countries and we have offices across North America, Asia, Australia and Europe. International operations and further expansion subjects us to many challenges associated with supporting a rapidly growing business across a multitude of cultures, customs, monetary, legal and regulatory systems and commercial infrastructures. In certain international markets we have relatively limited operating history, and our ability to manage our business and conduct our operations internationally requires considerable attention and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described elsewhere in this section, our international sales and operations are subject to a number of risks,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local and political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restrictive governmental actions (such as trade protection measures, including export duties, economic sanctions, quotas, custom duties, tariffs, penalties, sanctions and restrictions around the import and export of certain products, technologies and components). For example, imposition of higher tariffs on goods imported to the United States, including from Mexico, Canada and China, could affect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Nationalization and restrictions on foreign ownership, including in China and Germany, could make expansion into those markets more difficult;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laws and regulations regarding privacy, data use, data protection, data security, data localization, network security, consumer protection, pricing, discounting, product labeling, environmental safety, payments, advertising, labor and competition;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licensing or certification requirements, such as for imports, exports, web services and electronic devices;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sales or distribution of certain products or services and uncertainty regarding liability for products, services and content, including uncertainty as a result of less internet-friendly legal systems, local laws, lack of legal precedent and varying rules, regulations and practices regarding the physical and digital distribution of media products and enforcement of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complications in enforcing contracts and collections;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shorter payable and longer receivable cycles and the resultant negative impact on cash flow;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limitations on the repatriation and investment of funds and foreign currency exchange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invoicing and collecting in foreign currencies and associated foreign currency exposure;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limited fulfillment and technology infrastructure;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lower levels of use of the internet;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lower levels of consumer spending and fewer opportunities for growth compared to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management, travel, infrastructure and legal compliance costs associated with having multiple international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in staffing, developing and managing foreign operations as a result of distance, language and cultural differences;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employee/employer relationships and the existence of works councils and labor unions;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varied labor and employment laws, including those relating to termination of employees. For example, stricter laws for foreign employers in India could make it difficult for us to provide scalable technical support;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the U.S. Foreign Corrupt Practices Act (“FCPA”) and other applicable U.S. and foreign laws prohibiting corrupt payments to government officials and other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laws and policies of the United States and other jurisdictions affecting trade, foreign investment, loans and taxes for cross-border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costs of funding loss-making international subsidiaries;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administrative costs and risks associated with compliance with local laws and regulations, including relating to privacy and data security in China and the EU;</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concerns regarding negative, unstable or changing economic conditions in the countries and regions where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administrative difficulties, costs and expenses related to various local languages, cultures and political nuances;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terrorism, wars and geopolitical instability, including the Ukraine war, the continued uncertainty surrounding the conclusion of the Israel-Hamas war and the broader conflict in the Middle East.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Legal, Regulatory and Compliance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extensive laws and regulations and we may incur material liabilities or costs related to complying with existing or future laws and regulations, and our failure to comply may result in enforcements, penalties, recalls and other adverse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broad range of federal, state, local and foreign laws and regulations including those intended to protect public and worker health and safety, natural resources and the environment. Our operations are subject to regulation by various agencies, including the Occupational Safety and Health Administration, the FDA, the Department of Agriculture, the Federal Trade Commission, the Department of Justice, including the Antitrust Division, the European Commission, and other federal, state, local and foreign authorities regarding the processing, packaging, storage, distribution, advertising, labeling and export of our brand partners’ products, including food safety standards and pricing and competition. In addition, we and our brand partners are subject to additional regulatory requirements, including environmental, health and safety laws and regulations administered by the U.S. Environmental Protection Agency,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These laws and regulations also govern our relationships with employees, including minimum wage requirements, overtime, terms and conditions of employment, working conditions and citizenship requirements.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Authorities may enact new laws or promulgate new regulations that are adverse to our business, or they may view matters or interpret laws and regulations differently than they have in the past or in a manner adverse to our business. We may incur (directly or indirectly) material costs to comply with current or future laws and regulations or in any required product recalls. Liabilities or costs of compliance with any such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could materially and adversely affect our business, financial condition and results of operations. In addition, changes in these laws and regulations could impose significant limitations and require changes to our business, which may increase our compliance expenses, make our business more costly and less efficient to conduct and compromise our growth strategy. As our business matures and we expand geographically and into different product categories, we may become subject to new laws and regulations in new jurisdictions. It is difficult to predict how existing and future laws will be applied to our business as it exists today and may exist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Political, economic and financial instability and changes in international trade and investment policies, tariffs or economic sanctions, particularly with respect to the United States and China, could have a material impact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Political and economic instability, the financial instability of brand partners, brand partners’ ability to meet our standards, labor problems experienced by brand partners, the availability of raw materials, merchandise quality issues, currency exchange rates, transport availability and cost, transport security, inflation and other factors relating to our brand partners are beyond our control and may affect our ability to efficiently obtain products from our brand partners, or to obtain those products at all. For example, in the past our in-stock rates were negatively affected due to increased shipping lead times and delays in importing goods into the United States due to disruptions in global shipping routes and labor strikes affecting ports.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decrease in the level of imports to and exports from China could have a material impact on our business, financial condition and results of operations. Rising trade and political tensions could reduce levels of trades, investments, technological exchanges and other economic activities between China and other countries, which would have an adverse effect on global economic conditions, the stability of global financial markets and international trade policies. It could also adversely affect the financial and economic conditions in the jurisdictions in which we operate, as well as our global expansion, our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as to the potential actions of the U.S. government with respect to international trade policy and the impact of tariffs, particularly with respect to trade between the United States and China. Changes to historical U.S. trade policy have increased tariffs on imports, in some cases significantly, and have altered historical U.S. trade arrangements. For example, in April 2025, the U.S. government imposed broad new tariffs, including a baseline tariff of 10% on all imports, plus additional country-specific tariffs. The European Union and certain countries, including China and Canada, have threatened or imposed retaliatory measures. The related geopolitical uncertainty between the United States and its trading partners, may cause decreased demand for the products we sell or increase the cost to us of our brand partners’ products, which could have a material impact on our business, financial condition and results of operations. For example, consumers may respond to the imposition of tariffs or threat of tariffs on the products we sell by purchasing alternative products at a lower price. The resulting environment of retaliatory trade or other practices or additional trade restrictions or barriers, if implemented on a broader range of our brand partners’ products, could harm our ability to sell brand partner products at prices consumers are willing to pay, which could have a material impact on our business, financial condition and results of operations. It remains unclear what additional, new or different actions, if any, will be taken by the United States, China or other governments with respect to international trade agreements, the imposition of tariffs, the erection of barriers to trade, tax policy related to international commerce or other trade matters. The imposition of tariffs and trade restrictions as a result of international trade disputes or changes in trade policies could materially impact our sales and profitability. Ongoing international trade disputes and changes in trade policies could also impact economic activity and lead to a general contraction of consumer demand. Future actions or escalations by either the United States or its trading partners that affect trade relations could also negatively affect our business and/or that of our brand partners, and we cannot provide any assurances as to whether such actions will occur or the form that they may take.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are unable to predict whether any of the countries in which our brand partners’ products are currently manufactured or may be manufactured in the future will be subject to trade restrictions imposed by the United States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adversely affect our financial performance as well as our reputation and brand. Furthermore, some or all of our brand partners’ foreign operations may be adversely affected by political and financial instability, resulting in the disruption of trade from exporting countries, restrictions on the transfer of funds or other trade disruptions.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are subject to economic sanctions laws and regulations, including those administered by the U.S. Departments of State, Commerce, and Treasury. Economic sanctions could result in restrictions on shipment of our brand partners’ products or otherwise on doing business with our brand partners or other persons, which could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adverse effect on our business. Recent U.S. laws restricting investment in Chinese companies or on personal data transfers to certain persons or entities, including Chinese companies, could adversely affect our business. Moreover, a determination by a government that we have failed to comply with trade sanctions, investment, anti-bribery, or other laws or regulations can result in penalties which may include fines, penalties, or seizure of products, or loss of reputation, any of which could have an adverse effect on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FCPA, U.S. domestic bribery laws and other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our senior management team.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Government regulation of the internet, mobile devices and ecommerce is evolving, and unfavorable changes could substantially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ecommerce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mobile, electronic contracts and other communications, consumer protection and the characteristics and quality of our brand partners’ products. It is not clear how existing laws governing issues such as property ownership, sales, use and other taxes and personal privacy apply to the internet and ecommerce. In addition, in the future, it is possible that foreign government entities in jurisdictions in which we seek to expand our business may seek to or may even attempt to block access to marketplaces on which we sell or our website. Negative developments regarding trademark law and other property rights may result in our brand partners’ inability to maintain adequate enforcement of rights against unauthorized sellers.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business partners and service providers may be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financial condition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running our business, we receive, store, use and otherwise process information that relates to individuals and/or constitutes “personal data,” “personal information,” “personally identifiable information,” or similar terms under applicable data privacy and security laws (collectively, “personal information”). The legislative and regulatory framework for the collection, use, safeguarding, sharing, transfer and other processing of personal information worldwide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is rapidly evolving and is likely to remain uncertain for the foreseeable future. Globally, several jurisdictions, including those in which we operate or collect personal information, have established their own data privacy and security frameworks with which we must comply. For example, in the United States, numerous federal and state laws and regulations, including state data breach notification laws, marketing/advertising laws, and federal and state consumer protection and data privacy and security laws (e.g., Section 5 of the Federal Trade Commission Act and the California Consumer Privacy Act (“CCPA”) and similar laws in other states), that govern the collection, use, disclosure and protection of personal information, apply to our operations and the operations of our business partners and service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CCPA, which went into effect on January 1, 2020, established a comprehensive privacy framework for covered businesses by creating an expanded definition of personal information, and, amongst other requirements, establishing robust data privacy rights for California residents, imposing significant transparency obligations on covered businesses and requiring CCPA-compliant contracts between covered businesses and their service providers. It also provides for civil penalties for violations, and allows for a private right of action for data breaches that is expected to increase data breach litigation. In addition to the CCPA, similar privacy and data security laws have been enacted or proposed in numerous other states as well as in the U.S. Congress. These laws impose similar, additional and, in some cases, more restrictive requirements than the CCPA created. Such legislation adds additional complexity, variation in requirements, restrictions and potential legal risk, requires additional investment of resources in compliance programs, impacts strategies and could result in increased compliance costs and/or changes in business practices and policies. Certain states have also passed laws regulating specific aspects of privacy. For example, the State of Washington passed a law regulating health information, including inferences about consumer health derived from non-sensitive information, and other states have passed stringent privacy laws addressing a wide range of topics, including data brokers, data about kids and teens, automated decision making, targeted advertising and the collection and use of biometric information. The existence of data privacy and security laws in different states in the country makes our compliance obligations more complex and costly and may increase the likelihood that we may be subject to enforcement actions or otherwise incur liability for noncompliance. These various data privacy and security laws may impact our business activities, including relationships with business partners and ultimately the marketing and distribution of our brand partners’ products. State laws are changing rapidly, and there is discussion in the U.S. Congress of a new comprehensive federal data privacy law to which we may likely become subject, if enacted.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laws, regulations and standards covering marketing, advertising and other activities conducted by telephone, email, mobile devices and the internet may be or become applicable to our business, such as the Telephone Consumer Protection Act, the Controlling the Assault of Non-Solicited Pornography and Marketing Act and similar state consumer protection and communication privacy laws, such as California’s Invasion of Privacy Act. There is also growing and significant litigation under such laws, which could impact us if our business is perceived to be out of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brand partners utilize our platform to power their ecommerce acceleration across more than 100 countries and we must also address privacy and data protection requirements from other jurisdictions outside of the United States. Outside the United States, an increasing number of laws, regulations and industry standards apply to data privacy and security, including the EU’s General Data Protection Regulation (“EU GDPR”) and the United Kingdom’s GDPR (“UK GDPR” and together with the EU GDPR,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conducting our business, we may transfer personal information from the EU, the UK and other jurisdictions to the United States or other countries. The GDPR and other laws impose requirements on the transfer of personal information to other countries. In particular, the GDPR has significantly restricted the transfer of personal information to the United States and other countries whose privacy laws it believes are inadequate. Other jurisdictions have adopted or may adopt similarly stringent data localization and cross-border data transfer laws. Although there are currently various mechanisms that may be used to transfer personal information to the United States under the GDPR, such as the EU GDPR’s standard contractual clauses, the UK GDPR’s International Data Transfer Agreement/Addendum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and other third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there is no lawful manner for us to transfer personal information from various jurisdictions, including the EU and UK, to the United States, or if the requirements for a legally-compliant transfer are too onerous, we could face significant adverse consequences, including increased exposure to regulatory actions, substantial fines and injunctions against processing or transferring personal information, as well as other adverse consequences. In particular we may be unable to import personal data to the United States and other third countries in which we operate, which could significantly and negatively impact our business operations. Additionally, companies that transfer personal information out of the EU and UK to other jurisdictions, particularly to the United States, may be subject to increased scrutiny from regulators, individual litigants and activist groups.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Beyond the United States and Europe, we face challenges of privacy and data protection laws in numerous jurisdictions in which we operate, including China which has a stringent privacy, cyber and data protection regulation. Most notably, the Personal Information Protection Law of China (“PIPL”) was adopted on August 20, 2021, and went into effect on November 1, 2021. Similar to the GDPR, the PIPL calls for extraterritorial application, data minimization, data localization and purpose limitation requirements, and obligations to provide certain notices and rights to citizens of China. The PIPL allows for fines of up to 50 million renminbi or 5% of a covered company’s revenue in the prior year. In addition, the PIPL has certain requirements that must be met before data can be transferred across border.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legislative and regulatory frameworks we are subject to governing the processing of personal information, we are also contractually subject to data privacy and security obligations. Moreover, we publish privacy policies, marketing materials and other statements regarding data privacy and security. If we fail to abide by our contractual obligations or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Legislative and regulatory, contractual and other obligations related to data privacy and security (and data privacy expectations from our business partners and constituencies)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one of our third-party service providers to comply with applicable law, regulations or contractual obligations could result in adverse effects, including proceedings against us by governmental entities or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even criminal penalties for company officials. In particular, plaintiffs have become increasingly more active in bringing privacy-related claims against companies, including class-action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brand partners or customers, interruptions or stoppages in our business operations, inability to process personal data or to operate in certain jurisdictions, limited ability to develop or commercialize our solutions, expenditure of time and resources to defend any claim or inquiry, adverse publicity or revision or restructuring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or our third-party providers fail to protect confidential information and/or experience data security incidents, breaches or compromises, there may be damage to our brand and reputation, financial penalties and legal liability, which would materially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computer systems, hardware, software, technology infrastructure and online sites and networks for both internal and external operations that are critical to our business. We own and manage some of these technology systems, but also rely on third parties for a range of systems and related products and services. We also collect, process, store and transmit large amounts of data, including confidential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numerous and evolving cybersecurity risks that threaten the confidentiality, integrity and availability of our technology systems and confidential information. Threat actors, including nation-states and nation-state-supported actors now engage, and are expected to continue to engage, in cyber-attacks through diverse attack vectors such as social engineering/phishing, malware (including ransomware), attacks enhanced or facilitated by AI, business email compromises, malfeasance by insiders, human or technological error, and as a result of malicious code embedded in open-source software or misconfigurations, bugs or other vulnerabilities in commercial software that is integrated into our (or our suppliers’ or service providers’) software or solutions. Due to the current geopolitical environment, we and our brand partners are at heightened risk of these attacks, including cyber-attacks that could materially disrupt our systems and operations, supply chain and ability to produce, sell and distribute our brand partners’ products. In particular, severe ransomware attacks are becoming increasingly prevalent and can lead to significant interruptions in our operations, loss of confidential data and income, reputational harm and diversion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upon email and other electronic means of communication to connect with customers. Our brand partners or customers may be targeted by parties using fraudulent spoofing and phishing emails to misappropriate passwords, payment information or other personal information or to introduce viruses through Trojan horse programs or otherwise through our brand partners’ or customers’ computers, smartphones, tablets or other devices. Spoofing and phishing may damage our brand and increase our costs, and we have experienced incidents related to phishing, though these incidents have not been material to date. Any failure to mitigate the effectiveness of such malicious activity in the future could damage our brand or increase our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third-party technology and systems for a variety of reasons, including, without limitation, encryption and authentication technology, employee email and other communication, content delivery to customers, back-office support and other functions. Our ability to monitor these third parties’ information security practices is limited, and these third parties may themselves inappropriately access such confidential information or may not have adequate security measures and could experience a security incident that compromises the confidentiality, integrity or availability of the systems they operate for us or the confidential information they process on our behalf, which could harm our reputation or adversely affect our business. While we may be entitled to damages if our third-party service providers fail to satisfy their privacy or security-related obligations to us, we cannot be certain that our applicable contracts with these third parties will adequately limit our data security-related liability to them or be sufficient to allow us to obtain indemnification or recovery from them for privacy or data security-related liability that they cause us to incur.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Remote work has become more common and has increased risks to our information technology systems and confidential information as more of our employees utilize network connections, computers and devices outside our premises or network, including working at home, while in transit and in public locations.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we will not encounter risks associated with employees and service providers accessing company data and systems remotely. Additionally, future or past business transactions (such as acquisitions or integrations) have exposed and may in the future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certain of our third-party providers have in the past, and may in the future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attacks or incidents or avoid a material adverse impact to our technology systems, data or business. There can also be no assurance that our cybersecurity risk management program and processes, including our policies, controls or procedures, will be fully implemented, complied with or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adverse impact to the availability, integrity or confidentiality of our technology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 Further, although we maintain cyber liability insurance, this insurance may not provide adequate coverage against potential liabilities related to any experienced cybersecurity incident or breach.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we, or our service providers on our behalf, accept debit and credit cards for payment, we are subject to the Payment Card Industry Data Security Standard, issued by the Payment Card Industry Security Standards Council. The Payment Card Industry Data Security Standard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on our ability to secure, maintain, protect and enforce our intellectual property rights in our proprietary technology, know-how and our brand. To protect our rights to our intellectual property, we rely on a combination of patent, trademark, copyright and trade secret laws, domain name registrations, confidentiality agreements and other contractual arrangements with our brand partners, employees, affiliates, strategic partners, marketplaces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intellectual property protection, we may be unable to detect the unauthorized use of, or take appropriate steps to enforce, our patents and other intellectual property rights.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Further, effective patent, trademark, copyright and trade secret protection may not be available to us or in every jurisdiction in which we offer or intend to offer our brand partners’ products and our technology. Failure to adequately protect our intellectual property could harm our brand, devalue our proprietary content and adversely affect our ability to compete effectively.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Given the long history of development of AI Technologies, other parties may have (or in the future may obtain) patents or other proprietary rights that would prevent, limit or interfere with our ability to make, use or sell our own AI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generative AI Technologies, including tools provided by third parties, to develop or assist in the development of our own software. While use of such tools makes our development process more efficient, AI Technologies have sometimes generated content that is “substantially similar” to proprietary or open source code on which the AI tool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was trained. If the AI Technologies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If our tools generate code that is too similar to open source code, we risk losing protection of our own proprietary code that is commingled with such code. Finally, to the extent we use third-party AI Technologies to develop software, the terms of use of these tools may state that the third-party provider retains rights in the generated code.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adequately protect our intellectual property rights, our competitors may gain access to our intellectual property and proprietary technology and develop and commercialize substantially identical solutions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solutions and technology capabilities and use information that we regard as proprietary to create solutions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solutions and technology capabilities. These agreements may be breached, and we may not have adequate remedies for any such breach.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protect and defend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solutions and technology capabilities, impair the functionality of our solutions and technology capabilities, delay introductions of new solutions, result in our substituting inferior or more costly technologies into our solutions or injure our reputation.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successfully halt the operations of copycat websites or the infringement or misappropriation of intellectual property rights in Pattern, or elements or functionality embodied therein, including, but not limited to, our digital catalog.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intellectual property claims, which are extremely costly to defend, could require us to pay significant damages and could limit our ability to use certain technologies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have from time to time claimed, and may claim in the future, that we have infringed their intellectual property rights. These claims, whether meritorious or not, could be time-consuming, result in considerable litigation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result in injunctions against us or the payment of damages by us, require significant amounts of management time or result in the diversion of significant operational resources and expensive changes to our business model, require us to indemnify our brand partners or third-party service providers, materially disrupt the conduct of our business and have a material and adverse effect on us and our brand partners and result in the payment of substantial damages or injunctions against us or require us to enter into costly royalty or licensing agreements, if available. Additionally, there can be no assurance that favorable outcomes will be obtained. Any payments we are required to make and any injunctions we are required to comply with as a result of such infringement actions could adversely affect our business, financial condition and results of operations. We may need to obtain licenses from, or enter into royalty arrangements with, third parties who allege that we have infringed their rights, but such licenses or arrangements may not be available on terms acceptable to us or at all.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As a result, these claims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continue to use the domain names that we use in our business or prevent third parties from acquiring and using domain names that infringe on, are similar to, or otherwise decrease the value of our brand, trademarks or service 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registered domain names that we use in, or are related to, our business, most importantly www.pattern.com. If we lose the ability to use a domain name, whether due to trademark claims, failure to renew the applicable registration or any other cause, we may be forced to market our solutions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trade names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technology makes use of open source software components, and a failure to comply with the terms of the underlying open source software licenses could negatively affect our ability to use our technology and subject us to possible litigation.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incorporates and is dependent, to a significant extent, upon the use of open source software, and we intend to continue our use of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depending on how the licensed software is used or modified, that we offer our proprietary software that incorporates the open source software for little or no cost, that we make available source code for modifications or derivative works we create based upon incorporating or using the open source software and that we license such modifications or derivative works under the terms of the particular open source license. This could enable our competitors to create similar solutions with lower development effort and time and ultimately could result in a loss of our competitive advantage. Further, if an author or other third-party that uses or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use of our technology that contained or are dependent upon the open source software and required to comply with the foregoing conditions, which could disrupt the use of our technology and ultimately the sale of our brand partners’ products. Litigation could be costly for us to defend, negatively affect our operating results and financial condition or require us to devote additional research and development resources to change our technology. 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technology. As there is little or no legal precedent governing the interpretation of many of the terms of certain of these licenses, the potential impact of these terms on our business is uncertain and may result in unanticipated obligations regarding our technologies. Any requirement that we make available source code for modifications or derivative works we create based upon incorporating or using open source software or that we license such modifications or derivative works under the terms of open source licenses, could be harmful to our business, financial condition or results of operations and could help our competitors develop platforms that are similar to or better than ours. In addition, to the extent that we have failed to comply with our obligations under particular licenses for open source software, we may lose the right to continue to use and exploit such open source software in connection with our operations, which could disrupt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usage and distribution of open source software can lead to greater risks than the use of third-party commercial software, as open source licensors generally do not provide support, warranties, indemnification, controls on the origin or development of the software, remedies against the licensors or other contractual provisions regarding infringement claims or the quality of the code. Many of the risks associated with usage of open source software cannot be eliminated and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believe that we have complied with our obligations under the various applicable licenses for open source software, it is possible that we may not be aware of all instances where open source software has been incorporated into our software or used in connection with our solutions or our corresponding obligations under open source licenses. Additionally, even though we have implemented certain tools and policies to monitor the use, compliance and incorporation of open source software into our solutions, we cannot be certain that we have not incorporated open source software in the solutions we offer in a manner that is inconsistent with such tools and policies. To the extent that we are required to disclose the source code of certain of our software developments to third parties, including our competitors, in order to comply with applicable open source license terms, such disclosure could harm our intellectual property position, competitive advantage, results of operations and financial condition. In addition, to the extent that we have failed to comply with our obligations under particular licenses for open source software, we may lose the right to continue to use and exploit such open source software in connection with our operations and solutions, which could disrupt and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Series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currently required to comply with the SEC rules that implement Section 404 (“Section 404”) of the Sarbanes-Oxley Act of 2002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commencing with our second annual report on Form 10-K. We are required to disclose changes in internal control over financial reporting that have materially affected, or are reasonably likely to materially affect, our internal control over financial reporting on a quarterly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In addition, as our business continues to grow in size and complexity, we are improving our processes and infrastructure to help ensure we can prepare financial reporting and disclosures within the timeline required for a public company. We may need to hire additional accounting and financial staff with appropriate public company experience and technical accounting knowledge to compile the system and process documentation necessary to perform the evaluation needed to comply with Section 404. In addition, prior to completing our internal control assessment under Section 404, we may become aware of and disclose material weaknesses that will require timely remediation. Due to our significant growth, we face challenges in timely and appropriately designing controls in response to evolving risks of material misstatement. During the evaluation and testing process of our internal controls, if we identify one or more material weaknesses in our internal control over financial reporting, we will be unable to assert that our internal control over financial reporting is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you that there will not be material weaknesses in our internal control over financial reporting in the future. Any failure to maintain internal control over financial reporting could severely inhibit our ability to accurately report our financial condition or operating results.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Series A common stock could decline and we could be subject to sanctions or investigations by the stock exchange on which our securities are listed, the SEC or other regulatory authorities. Failure to remedy any material weakness in our internal control over financial reporting or to implement or maintain these and other effective control systems required of public companies, could also restrict our future access to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substantial costs and requires substantial management time and attention.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substantial legal, accounting and other expenses that we did not incur as a private company. The Securities Exchange Act of 1934, as amended (“Exchange Act”), the applicable requirements of the Sarbanes-Oxley Act and the Dodd-Frank Wall Street Reform and Consumer Protection Act and the rules, the regulations of the SEC and Nasdaq and other applicable securities rules and regulations impose various requirements on public companies in the United States. Compliance with these requirements has increased, and will continue to increase, our legal and financial compliance costs and will continue to make some activities more time-consuming.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and other personnel devote substantial time to the reporting and other requirements of being a public company. We cannot predict or estimate the amount of additional costs we will continue to incur as a public company or the specific timing of such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tax law may adversely affect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IRS and the U.S. Department of the Treasury. Changes to tax laws (which changes may have retroactive application) could adversely affect us or holders of our Series A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Series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may be subject to sales and other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provincial taxes, goods and services tax, business tax and gross receipt tax, to businesses like ours and marketplaces is a complex and evolving issue. Significant judgment is required to evaluate applicable tax obligations and as a result amounts recorded are estimates and could change. In many cases, the ultimate tax determination is uncertain because it is not clear how existing statutes apply to our business or to marketplaces’ businesses. One or more states, the federal government or other countries may seek to impose additional reporting, record-keeping or indirect tax collection obligations on businesses like ours that facilitate ecommerce. New taxes could also require us or marketplaces to incur substantial costs to capture data and collect and remit taxes. If such obligations were imposed, the additional costs associated with tax collection, remittance and audit requirements could make selling in marketplaces less attractive and more costly for us,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tax attributes to offset future taxable income for tax purposes is subject to limitation and risk that could limit our ability to utilize such attributes.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as amended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(“NOLs”) and other pre-change tax attributes (such as research and development tax credits) to offset its post-change income or taxes may be limited. We may experience ownership changes in the future as a result of subsequent shifts in our stock ownership (some of which shifts in stock ownership may be outside our control). As a result, our ability to use any pre-change tax attributes (including any NOLs and tax credits) to offset future taxable income, if any, could be subject to limitations. Similar provisions of state tax law may also apply. Further, there is a risk that due to changes to the Code, regulatory changes or other unforeseen reasons, our existing tax attributes could expire or otherwise become unavailable to offset future income tax liabilities. As a result, we may currently or in the future be unable to use a material portion of our tax attributes. Furthermore, any state or local level credits or incentives (or carryforwards thereof) anticipated by us may become unavailable due to a change in eligibility, a change in circumstances, a change of law or otherwise, and will not be available to reduce future tax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 could have a material adverse effect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and may require a commitment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penalty or fine is not fully covered by 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as a result of disclosure obligations required of a public company, our business and financial condition will become more visible, which may result in an increased risk of threatened or actual litigation, including by competitors and other third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Corporate Structure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“controlled company” under the corporate governance requirements of Nasdaq, and intend to avail ourselves of certain reduced corporate governance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our dual series common stock structure and the co-founder voting agreement between the co-founders, our co-founders collectively hold a majority of the voting power of our outstanding capital stock. Therefore, we are considered a “controlled company” as that term is set forth in the corporate governance requirements of Nasdaq. Under these listing standards, a company in which over 50% of the voting power for the election of directors is held by an individual, a group or another company is a “controlled company” and may elect not to comply with certain corporate governance requirements of Nasdaq,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a majority of its board of directors consist of independent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its nominating or corporate governance committee be composed entirely of independent directors with a written charter addressing the committee’s purpose and responsibilities, or if no such committee exists, that its director nominees be selected or recommended by independent directors constituting a majority of the board’s independent directors in a vote in which only independent directors participate, and an annual performance evaluation of the committee;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its compensation committee be composed entirely of independent directors with a written charter addressing the committee’s purpose and responsibilities and an annual performance evaluation of the committee.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utilize certain of these exemptions. For example, our nominating and corporate governance committee does not consist entirely of independent directors. Accordingly, you will not have the same protections afforded to stockholders of companies that are subject to all of the corporate governance requirements of Nasdaq.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dual series structure of our common stock and the existing ownership of capital stock by our co-founders and their affiliates have the effect of concentrating voting control with our co-founders and their affiliates for the foreseeable future, which will limit your ability to influence corporate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Series B common stock has twenty votes per share, and our Series A common stock, which is the stock we offered in our IPO, has one vote per share. Given the greater number of votes per share attributed to our Series B common stock, as of December 31, 2025, our co-founders, who beneficially own all shares of our Series B common stock, together with the Series A common stock held by their affiliated co-founder trusts, collectively beneficially own shares representing approximately 86.4% of the voting power of our outstanding capital stock. Consequently, the holders of Series B common stock collectively control a majority of the voting power. Further, as of December 31, 2025, our co-founders and their affiliated co-founder trusts collectively own shares representing approximately 54.7% of the economic interest and 86.4% of the voting power of our outstanding capital stock and, together with our other executive officers, directors and their affiliates, own shares representing approximately 73.0% of the economic interest and 91.9% of the voting power of our outstanding capital stock. This concentrated control may limit or preclude your ability to influence corporate matters for the foreseeable future. For example, these stockholders are able to control elections of directors,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Series A common stock. Additionally, the holders of our Series B common stock may cause us to make strategic decisions or pursue acquisitions that could involve risks to you or may not be aligned with your interests. The holders of our Series B common stock are also be entitled to a separate vote in the event we seek to amend our amended and restated certificate of incorporation to increase or decrease the par value of a class of our common stock or in a manner that alters or changes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powers, preferences or special rights of the Series B common stock in a manner that affects its holders adversely. Future transfers by holders of Series B common stock will generally result in those shares converting on a 1:1 basis to Series A common stock, which will have the effect, over time, of increasing the relative voting power of those holders of Series B common stock who retain their shares in the long-term. In addition, future issuances of our common stock, particularly to our co-founders, would further dilute the voting power of holders of our Series A common stock and could increase the voting power of our co-founders. Future issuances of Series A common stock or Series B common stock to our co-founders could also delay the sunset of the dual series structure of our common stock by increasing the number of shares that they hold, thus preventing or delaying the Triggering Event (as defined in our amended and restated certificate of incorporation) related to the continued ownership of a certain amount of our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Series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predict the effect our dual series structure may have on the market price of our Series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whether our dual series structure will result in a lower or more volatile market price of our Series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series structure of our common stock would make us ineligible for inclusion in any of these indices. As a result, the market price of our Series A common stock could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make an acquisition of our company more difficult, limit attempts by our stockholders to replace or remove our current board of directors and limit the trading price of our Series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may have the effect of deterring hostile takeovers and delaying or preventing a change in control of our board of directors or management team. Our amended and restated certificate of incorporation and amended and restated bylaws include provisions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except with regard to directors nominated by Mr. Wright and Ms. Alder, vacancies on our board of directors shall be filled only by a majority of directors then in office, even though less than a quorum, or by a sole remaining director;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directors can be removed for cause only, once Mr. Wright and Ms. Alder no longer controls 50% of the voting power of our capital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once Mr. Wright and Ms. Alder no longer controls 50% of the voting power of our capital stock, any action required or permitted to be taken by the stockholders must be effected at a duly called annual or special meeting of stockholders and may not be effected by any consent in writing in lieu of a meeting of such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specify that, once Mr. Wright and Ms. Alder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collectively hold more than 50% of the voting power of our outstanding capital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will be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board of directors is expressly authorized to alter or repeal our amended and restated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give the holders of our common stock cumulative voting rights with respect to the election of directors, which means that the holders of a majority of the voting power of our outstanding shares of common stock can elect all directors standing for election;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a dual series common stock structure which will provide our co-founders with significant influence over all matters requiring stockholder approval, including the election of directors and significant corporate transactions, such as a merger or other sale of our company or assets;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contain advance notice procedures for stockholders seeking to bring business before our annual meeting of stockholders or to nominate candidates for election as directors at our annual meeting of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Section 203 of the Delaware General Corporation Law (“DGCL”) may deter, delay or prevent a change in control of our company. Section 203 imposes certain restrictions on mergers, asset sales or other transactions between us and holders of 15% or more of our common stock. See the section titled “Description of Capital Stock”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specific courts as the sole and exclusive forum for certain disputes that may be initiated by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our amended and restated bylaws, unless we consent in writing to the selection of an alternative forum, the Court of Chancery of the State of Delaware will be the sole and exclusive forum for state law claims for (i) any derivative action or proceeding brought on our behalf, (ii) any action asserting a claim of, or a claim based on, a breach of a fiduciary duty owed by any current or former director, officer or other employee of ours to us or our stockholders, (iii) any action asserting a claim pursuant to any provision of the DGCL, our amended and restated certificate of incorporation or our amended and restated bylaws or as to which the DGCL confers jurisdiction on the Court of Chancery of the State of Delaware or (iv) any action asserting a claim governed by the internal affairs doctrine (collectively, the “Delaware Forum Provision”). The Delaware Forum Provision does not apply to any causes of action arising under the Securities Act of 1933, as amended (the “Securities Act”), or the Exchange Act, or to any claim for which the federal courts have exclusive jurisdiction. Our amended and restated bylaws will further provide that unless we consent in writing to the selection of an alternative forum, the federal district courts of the United States will be the sole and exclusive forum for resolving any complaint asserting a cause of action arising under the Securities Act or the Exchange Act and the respective rules and regulations promulgated thereunder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that 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the federal forum selection provisions purporting to require claims under the Securities Act be brought in federal court, there is uncertainty as to whether courts in other states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stock incentive plans, or otherwise will dilute all other stockholders and could negatively affect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issue additional capital stock in the future that will result in dilution to all other stockholders. We expect to grant equity awards to employees, directors, consultants, and advisors under our stock incentive plans. We may also raise capital through equity financings in the future. As part of our business strategy, we may acquire or make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additional grants of equity awards under our stock incentive plans will also increase stock-based compensation expense and negatively affect our results of operations. For example, during the year ended December 31, 2025, stock-based compensation expense was $97 million. Prior to our IPO, the Company granted RSUs to employees that vested upon the satisfaction of both service-based and performance-based vesting conditions. In September 2025, we completed our IPO, which satisfied the performance-based vesting condition. Subsequent to our IPO, any unvested RSUs subject to both the service-based and performance-based vesting conditions will vest as the service-based vesting condition is met over the remaining period. As a public company, our RSUs are only subject to service-based vesting, and accordingly we expect to continue to incur stock-based compensation expense as these RSUs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substantial amounts of our Series A common stock in the public markets, or the perception that sales might occur, could cause the trading price of our Series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Series A common stock into the public market, particularly sales by our directors, executive officers, and principal stockholders, or the perception that these sales might occur, could significantly reduce the market price of the shares of our Series A common stock and the market price could decline. While shares held by directors, executive officers, and other affiliates are subject to volume limitations under Rule 144 under the Securities Act and various vesting agreements, we are unable to predict the timing of or the effect that such sales may have on the prevailing market price of our Series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of December 31, 2025, we had 8 million RSU awards outstanding. Shares of Series B common stock will automatically convert into shares of Series A common stock upon certain transfers and other events. All of the shares of Series A common stock subject to RSU awards and the shares reserved for future issuance under our equity incentive plans have been registered on a registration statement on Form S-8 under the Securities Act. Accordingly, these shares can be freely sold in the public market upon issuance, subject to volume limitations under Rule 144 for our executive officers and directors and applicable vesting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certain of our stockholders have certain rights to require us to file registration statements in the United States covering their shares or to include their shares in registration statements or prospectuses that we may file for ourselves or on behalf of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cannot predict the size of future issuances of our Series A common stock or the effect, if any, that future issuances and sales of our Series A common stock will have on the market price of our Series A common stock. Sales of substantial amounts of our shares, or the perception that such sales could occur, may adversely affect prevailing market prices for our Series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securities. We do not have any present intention to pay cash dividends on shares of our Series A common stock, and we do not anticipate paying any cash dividends on shares of our Series A common stock in the foreseeable future. We currently intend to invest our future earnings, if any, to fund our growth. Any future determination as to the declaration and payment of dividends, if any, will be at the discretion of our board of directors and will depend on our financial condition, operating results, contractual restrictions, capital requirements, business prospects and other factors our board of directors may deem relevant. As a result, stockholders must rely on sales of their Series A common stock after price appreciation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IPO occurred in September 2025. As such, there has only been a public market for our Series A common stock for a short period of time. The trading price of our Series A common stock may continue to be volatile, which could cause the value of your investment to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prices of the securities of other newly public companies have historically been highly volatile and markets in general have been highly volatile. The trading price of our Series A common stock is likely to continue to be volatile and could be subject to fluctuations in response to various factors, some of which are beyond our control. These fluctuations could cause you to lose all or part of your investment in our Series A common stock since you might be unable to sell your shares at or above the price you paid for them. Factors that could cause fluctuations in the trading price of our Series A common stock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number of shares of our Series A common stock made available for trading;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Series A common stock by us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pricing of our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solutions, services, products or platform features;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privacy or security breaches or other incidents;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services or technologies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 in the United States or globally;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events or factors, including those resulting from war, incidents of terrorism, natural disasters, public health concerns or epidemics, such as pandemics, natural disasters or responses to these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and financial performance may differ from any projections that we disclose or any information that may be attributed to us by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provide guidance via public disclosure regarding our projected business or financial performances. However, any such projections involve risks, assumptions and uncertainties, and our actual results could differ materially from such projections. Factors that could cause or contribute to such differences include, but are not limited to, those identified in this section, some or all of which are not predictable or within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and other publishers often make statements regarding our historical or projected business or financial performances, and we cannot assure you of the reliability of any such information even if it is attributed directly or indirectly to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publish negative reports about our business, our share price and trading volume could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Series A common stock depends in part on the research and reports that securities or industry analysts publish about us or our business, our market and our competitors. If we fail to maintain sufficient securities analyst coverage of us, the trading price for our Series A common stock would be negatively affected.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cannot maintain this culture as we grow, we could lose the innovation, creativity and teamwork fostered by our culture, and our business may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an important contributor to our success to date has been our corporate culture, which we believe fosters innovation, teamwork and passion for our brand. Other than our executive officers, as a result of our growth, most of our employees have been with us for fewer than two years. As we continue to grow and develop the infrastructure of a public company, we must effectively integrate, develop and motivate a growing number of new employees, including employees in international markets. As a result, we may find it difficult to maintain important aspects of our corporate culture, which could limit our ability to innovate and operate effectively. Any failure to preserve our culture could also negatively affect our ability to retain and recruit personnel, continue to perform at current levels or execute on our business strategy.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effects of natural disasters, terrorism, acts of war and public health issues may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Natural disasters, including earthquakes, hurricanes, floods and tornadoes could affect warehouse operations and the products we sell. Our operations, including warehouse operations, may also be vulnerable to damage or interruption from power loss, telecommunications failures, fires, vandalism and similar events. If our warehouses were affected by such disasters, we would incur substantial losses. While many of these losses may be recoverable through our insurance policies, our revenues could be affected in the short term as a result. In addition, acts of terrorism, acts of war and military action both in the United States and abroad can have a significant effect on economic conditions and may negatively affect our ability to purchase merchandise from brand partners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brand partners’ operations, our operations, marketplaces’ operations, our customers or consumer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our locations, which could have a material adverse effect on our business, financial condition and results of operations. Any significant declines in public safety or uncertainties regarding future economic prospects that affect consumer spending habits could have a material adverse effect on customer purchases of our brand partners’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Climate change may have a long-term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that there are inherent climate-related risks wherever business is conducted. Any of our primary office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currently has a low-assessed risk of disrupting our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critical infrastructure of the United States and other major regions, have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potential to disrupt our business, our brand partners and/or marketplaces, and may cause us to experience higher attrition, losses and additional costs to maintain or resume operations. Regulatory developments, changing market dynamics and stakeholder expectations regarding climate change and our response to any of the same, may result in increased costs, divert attention from management, and negatively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cash could be adversely affected if the financial institutions in which we hold our cash fail.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a robust and dynamic cybersecurity risk management program that is integrated into its overall enterprise risk management (ERM) framework. This program is designed to assess, identify and manage material risks from cybersecurity threats that could potentially affect the confidentiality, integrity, or availability of our information systems and data. Our primary goal is to ensure the reliability and security of our operations and the data we process, including proprietary business information and customer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components of our cybersecurity strategy and risk management processes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Assessments: We conduct risk assessments at least annually and on an ad-hoc basis following significant changes to our IT environment or business operations. These assessments are designed to identify potential vulnerabilities, evaluate emerging threats and determine the likelihood and potential magnitude of a cybersecurity incident.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Integration with ERM: Cybersecurity risks are continuously reviewed in the context of our broader enterprise risks, with regular updates provided to executive management to ensure alignment with business strategy and resource allocation.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Oversight: We maintain formal processes to oversee and identify risks from cybersecurity threats associated with our use of third-party service providers and vendors. This includes pre-contract due diligence, security assessments and contractual security and privacy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External Expertise: We engage independent cybersecurity assessors, consultants and auditors to evaluate and test our systems and controls. This collaboration is designed to ensure our practices adhere to industry best standards and helps us stay ahead of evolving threat landscapes.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Employee Training: All employees receive mandatory cybersecurity awareness training upon hire and annually thereafter.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no risks from cybersecurity threats or previous cybersecurity incidents have materially affected the Company's business strategy, results of operations, or financial condition. We continuously monitor and invest in preventative, detective and corrective controls to manage these risks.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through its Audit Committee, is responsible for the oversight of the Company’s cybersecurity risk management program. The Audit Committee receives periodic briefings and presentations from management on the Company’s cybersecurity posture, emerging risks and incident response readiness.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VP of Information Security is responsible for developing, implementing and maintaining the cybersecurity program and reports to the Chief Information Officer. The VP of Information Security has over 15 years of progressive experience in information security, risk management and incident response. The VP of Information Security and the cybersecurity team are responsible for ongoing security monitoring, prevention, detection, mitigation, incident response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remediation of cybersecurity incidents. They inform the Audit Committee and executive management with real-time alerts for significant events. Information regarding material risks and incidents is reported to the Audit Committee at least quarterly, and immediately for any material or highly significant incident.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Ongoing Improvements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invest in our cybersecurity infrastructure and enhance our capabilities to detect, prevent and respond to emerging threats. We also monitor regulatory developments and industry best practices to ensure our program remains robust and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leases various properties in support of its operations and single reportable segment. The following table summarizes our principal properties:</w:t>
      </w:r>
    </w:p>
    <w:tbl>
      <w:tblPr>
        <w:tblW w:w="7057" w:type="dxa"/>
        <w:jc w:val="left"/>
        <w:tblInd w:w="0" w:type="dxa"/>
        <w:tblLayout w:type="fixed"/>
        <w:tblCellMar>
          <w:top w:w="28" w:type="dxa"/>
          <w:left w:w="28" w:type="dxa"/>
          <w:bottom w:w="28" w:type="dxa"/>
          <w:right w:w="28" w:type="dxa"/>
        </w:tblCellMar>
      </w:tblPr>
      <w:tblGrid>
        <w:gridCol w:w="780"/>
        <w:gridCol w:w="688"/>
        <w:gridCol w:w="692"/>
        <w:gridCol w:w="109"/>
        <w:gridCol w:w="109"/>
        <w:gridCol w:w="109"/>
        <w:gridCol w:w="673"/>
        <w:gridCol w:w="673"/>
        <w:gridCol w:w="679"/>
        <w:gridCol w:w="109"/>
        <w:gridCol w:w="109"/>
        <w:gridCol w:w="109"/>
        <w:gridCol w:w="259"/>
        <w:gridCol w:w="259"/>
        <w:gridCol w:w="263"/>
        <w:gridCol w:w="109"/>
        <w:gridCol w:w="109"/>
        <w:gridCol w:w="109"/>
        <w:gridCol w:w="324"/>
        <w:gridCol w:w="324"/>
        <w:gridCol w:w="462"/>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Sq.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Lehi,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Hebron, Kentucky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259,200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2/28/2027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Las Vegas,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2/29/2032</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Lehi, Utah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Office /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(1)Facility is leased from iServe Investments, LLC, an entity controlled by David Wright, our Chief Executive Officer and co-founder, and Melanie Alder, our Chief Strategy Officer and co-founder. See Note 16—Related-Party Lease Agreement, in the notes to the consolidated financial statements, included in Part II, Item 8, Financial Statements and Supplementary Data, in this Annual Report on Form 10-K for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also leases additional facilities in Europe, Australia and Asia to support our sales and logistics, none of which are individually material to our operations. We believe that our existing facilities are suitable and adequate for our current operations. We periodically review our property portfolio to ensure alignment with our business needs and may acquire or dispose of properties as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claims and legal actions that arise in the ordinary course of business. Although the results of litigation and claims cannot be predicted with certainty, we do not believe that the ultimate resolution of these actions will have a material adverse effect on our financial position, results of operations, 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to defend ourselves and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Series A common stock has been listed on Nasdaq under the symbol “PTRN” since September 19, 2025. Our Series B common stock is neither listed on any stock exchange nor traded on any public market.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 2026, there were [35] holders of record of our Series A common stock and 2 holders of record of our Series B common stock. The actual number of stockholders is greater than the number of record holders, and includes stockholders who are beneficial owners, whose shares are held of record by banks, brokers and other financial institutions.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and we do not currently anticipate paying any cash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“soliciting material” or to be “filed” for purposes of Section 18 of the Exchange Act or incorporated by reference into any filings under the Securities Act or the Exchange Act, except as shall be expressly set forth by specific reference in such filing.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performance graph below shows the cumulative total return to our stockholders between September 19, 2025 (the date that our Series A common stock commenced trading on Nasdaq) through December 31, 2025, in comparison to the NASDAQ Composite, the Russell 2000 Index, and the Standard &amp; Poor’s 500 (“S&amp;P 500 Index”) Information Technology Sector . The graph assumes that $100 was invested in our Series A common stock and each index at their closing prices on September 19, 2025 and data for the indexes assumes reinvestment of any dividends. The stock price performance shown in the graph represents past performance and is not necessarily indicative of future stock price performance.</w:t>
      </w:r>
    </w:p>
    <w:p>
      <w:pPr>
        <w:pStyle w:val="TextBody"/>
        <w:bidi w:val="0"/>
        <w:spacing w:before="0" w:after="240"/>
        <w:jc w:val="center"/>
        <w:rPr/>
      </w:pPr>
      <w:r>
        <w:rPr/>
        <w:drawing>
          <wp:inline distT="0" distB="0" distL="0" distR="0">
            <wp:extent cx="5838825" cy="3619500"/>
            <wp:effectExtent l="0" t="0" r="0" b="0"/>
            <wp:docPr id="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18, 2025, our registration statement on Form S-1 (File No. 333-289810), as amended, related to our IPO, was declared effective by the SEC. There has been no material change in the expected use of the net proceeds from our IPO as described in the final prospectus, dated September 18, 2025 and filed with the SEC on September 19, 2025 pursuant to Rule 424(b) of the Securities Act.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January 1, 2025, we made sales of the following unregistered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 Issuances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January 1, 2025, we granted to our employees, consultants and other service providers RSUs representing an aggregate of 5,393 thousand shares of common stock under our 2019 Equity Incentive Plan and 2025 Equity Incentive Plan. In addition, we granted to our CEO Milestone RSUs representing an aggregate of 8,813 thousand shares of common stock pursuant to a stand-alone restricted stock unit award agreement, which were subsequently cancelled in August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 Issuances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January 1, 2025, we issued to our employees an aggregate of 14,092 thousand shares of common stock in connection with the vesting of RSU awards under our 2019 Equity Incentive Plan and 2025 Equity Incentive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these transactions were exempt from registration under the Securities Act in reliance upon Section 4(a)(2) of the Securities Act or Regulation D promulgated thereunder or Rule 701 promulgated under Section 3(b) of the Securities Act (“Rule 701”) as transactions by an issuer not involving any public offering or pursuant to benefit plans and contracts relating to compensation as provided under Rule 701. The recipients of the securities in each of these transactions acquired the securities for investment only and not with a view to or for sale in connection with any distribution thereof, and appropriate legends were placed upon the stock certificates issued in these transactions. All recipients had adequate access, in each transaction or through their relationships with us, to information about Pattern.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audited consolidated financial statements and related notes thereto included elsewhere in this Annual Report on Form 10-K. The following discussion is intended to help the reader understand our company, our operations and our present business environment, and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sections titled “Special Note Regarding Forward-Looking Statements” and Part I, Item 1A,Risk Factors. Our historical results are not necessarily indicative of the results that may be expected for any period in the future.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 discussion regarding our financial condition and results of operations from the year ended December 31, 2025 compared to the year ended December 31, 2024 is presented below. A discussion regarding our financial condition and results of operations for the year ended December 31, 2023 can be found in the section titled, “Management Discussion and Analysis of Financial Condition and Results of Operations” in our final prospectus, which was filed with the SEC on September 19, 2025 pursuant to Rule 424(b)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Pattern, we are on a mission to help brands accelerate profitable growth on global ecommerce marketplaces. Our proprietary technology and on-demand experts operate across more than 70 marketplaces to increase product sales to consumers in more than 100 countries. We have gathered more than 66 trillion data points comprised of keyword, shipping, advertising, sales, market share, click, social, conversion, customer service and other data. Utilizing these data points and sophisticated machine learning and artificial intelligence (“AI”) models, we strive to optimize and automate key levers of ecommerce growth, including advertising, content creation and management, pricing, forecasting and customer service.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complexities that consumer brands face in scaling and accelerating global ecommerce, we have built a powerful ecommerce acceleration platform (“our technology”) organized around a simple and intuitive formula, which we call the ecommerce equation:</w:t>
      </w:r>
    </w:p>
    <w:p>
      <w:pPr>
        <w:pStyle w:val="TextBody"/>
        <w:bidi w:val="0"/>
        <w:spacing w:before="0" w:after="180"/>
        <w:ind w:left="0" w:right="0" w:firstLine="360"/>
        <w:jc w:val="center"/>
        <w:rPr/>
      </w:pPr>
      <w:r>
        <w:rPr/>
        <w:drawing>
          <wp:inline distT="0" distB="0" distL="0" distR="0">
            <wp:extent cx="5943600" cy="1028700"/>
            <wp:effectExtent l="0" t="0" r="0" b="0"/>
            <wp:docPr id="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 descr=""/>
                    <pic:cNvPicPr>
                      <a:picLocks noChangeAspect="1" noChangeArrowheads="1"/>
                    </pic:cNvPicPr>
                  </pic:nvPicPr>
                  <pic:blipFill>
                    <a:blip r:embed="rId5"/>
                    <a:stretch>
                      <a:fillRect/>
                    </a:stretch>
                  </pic:blipFill>
                  <pic:spPr bwMode="auto">
                    <a:xfrm>
                      <a:off x="0" y="0"/>
                      <a:ext cx="5943600" cy="1028700"/>
                    </a:xfrm>
                    <a:prstGeom prst="rect">
                      <a:avLst/>
                    </a:prstGeom>
                  </pic:spPr>
                </pic:pic>
              </a:graphicData>
            </a:graphic>
          </wp:inline>
        </w:drawing>
      </w:r>
      <w:bookmarkStart w:id="3" w:name="i-4"/>
      <w:bookmarkEnd w:id="3"/>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executes thousands of optimizations daily and drives the ecommerce equation across tens of thousands of products on marketplaces around the world. These optimizations include automated adjustments and recommendations powered by AI, machine learning and our massive flow of ecommerce data points, allowing brands to navigate the complexity of operating on global ecommerce marketplaces at scale.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technology, with a combined total of 31 issued patents and patents pending, is supported by approximately 480 software engineers, data scientists and other technology professionals who are dedicated to enhancing and innovating upon our technology to further increase our capabilities. We have a team that offers on-demand expertise and capabilities across marketplace management, marketing, fulfillment and brand protection on a global basis. We sell tens of thousands of products 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generate the substantial majority of our revenue from consumer product sales on global ecommerce marketplaces. Pattern acquires inventory based on contractual relationships with brand partners and uses its platform to optimize the ecommerce equation by driving traffic, increasing conversion, managing price and maintaining product availability across global ecommerce marketplaces.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developed and maintain strong and long-lasting brand partner relationships. Revenue attributable to brand partners consists of consumer product sales and other revenue, including subscription and consulting fees. Our Net Revenue Retention Rate (“NRR”) was 124% for the period ended December 31, 2025. See the section titled below “—Key Business Metric and Non-GAAP Financial Measure” for information on how we define and calculate NRR.</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Purchasing our brand partners’ products offers several advantages, creating a mutually beneficial partnership that supports growth for both Pattern and our brand partners by:</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Providing a low-friction model where brands simply sell their products to Pattern at predetermined prices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Reducing the need for brands to allocate technology and overhead budget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Allowing Pattern to manage the marketplace experience and optimize the ecommerce equation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Enabling Pattern to gather data, conduct real-time testing and enhance predictive models with AI</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operating model capitalizes on global economies of scale to optimize costs while investing in future growth. By managing more brand partners, we streamline logistics, reducing delivery times and costs. As we enhance operational efficiencies, we remain committed to innovating our technology, expanding capabilities and offering new solutions to our partners. Investments in technology and warehouse automation have significantly boosted our operational efficiency and realize tangible economic benefits from scale.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growth and future success of our business depends on many factors. While each of these factors presents significant opportunities for our business, they also pose important challenges that we must successfully address in order to sustain our growth, improve our results of operations and maintain or increase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Retention and growth with our Existing Brand Partners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Our ability to retain and grow our revenue attributable to existing brand partners drives our overall revenue growth</w:t>
      </w:r>
      <w:r>
        <w:rPr>
          <w:color w:val="000000"/>
        </w:rPr>
        <w:t xml:space="preserve"> </w:t>
      </w:r>
      <w:r>
        <w:rPr>
          <w:rFonts w:ascii="Times New Roman;serif" w:hAnsi="Times New Roman;serif"/>
          <w:b w:val="false"/>
          <w:color w:val="000000"/>
          <w:sz w:val="20"/>
          <w:shd w:fill="FFFFFF" w:val="clear"/>
        </w:rPr>
        <w:t>through continued optimization of the ecommerce equation. Additionally, a</w:t>
      </w:r>
      <w:r>
        <w:rPr>
          <w:rFonts w:ascii="Times New Roman;serif" w:hAnsi="Times New Roman;serif"/>
          <w:b w:val="false"/>
          <w:color w:val="000000"/>
          <w:sz w:val="20"/>
        </w:rPr>
        <w:t xml:space="preserve">s we accelerate brand partners’ growth, they continue to grant us exclusive access to sell their products, and we seek to expand the number of different products that we are able to sell on an increasing number of marketplaces, which currently includes more than 70 marketplaces. For example, we partner with over 80 brands for which we sell products on five or more marketplaces. Our brand partners also fund advertising through </w:t>
      </w:r>
      <w:r>
        <w:rPr>
          <w:rFonts w:ascii="Times New Roman;serif" w:hAnsi="Times New Roman;serif"/>
          <w:b w:val="false"/>
          <w:color w:val="000000"/>
          <w:sz w:val="20"/>
          <w:shd w:fill="FFFFFF" w:val="clear"/>
        </w:rPr>
        <w:t xml:space="preserve">our platform to drive traffic for consumer products on marketplaces. In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our brand partners invested more than </w:t>
      </w:r>
      <w:r>
        <w:rPr>
          <w:rFonts w:ascii="Times New Roman;serif" w:hAnsi="Times New Roman;serif"/>
          <w:b w:val="false"/>
          <w:color w:val="000000"/>
          <w:sz w:val="20"/>
        </w:rPr>
        <w:t>$220 million </w:t>
      </w:r>
      <w:r>
        <w:rPr>
          <w:rFonts w:ascii="Times New Roman;serif" w:hAnsi="Times New Roman;serif"/>
          <w:b w:val="false"/>
          <w:color w:val="000000"/>
          <w:sz w:val="20"/>
          <w:shd w:fill="FFFFFF" w:val="clear"/>
        </w:rPr>
        <w:t>in advertising spend through 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chart below illustrates the annual revenue that Pattern generates from certain cohorts of brand partners. Each brand partner is placed in a cohort based upon the year in which we first generated revenue attributable to such brand partner. The annual revenue set forth below for each cohort represents the total revenue attributable to the brand partners in that cohort generated during the applicable year. The revenue we generate attributable to each cohort has generally increased in each year, demonstrating the predictable and resilient revenue that is the foundation of our financial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drawing>
          <wp:inline distT="0" distB="0" distL="0" distR="0">
            <wp:extent cx="4572000" cy="3657600"/>
            <wp:effectExtent l="0" t="0" r="0" b="0"/>
            <wp:docPr id="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 descr=""/>
                    <pic:cNvPicPr>
                      <a:picLocks noChangeAspect="1" noChangeArrowheads="1"/>
                    </pic:cNvPicPr>
                  </pic:nvPicPr>
                  <pic:blipFill>
                    <a:blip r:embed="rId6"/>
                    <a:stretch>
                      <a:fillRect/>
                    </a:stretch>
                  </pic:blipFill>
                  <pic:spPr bwMode="auto">
                    <a:xfrm>
                      <a:off x="0" y="0"/>
                      <a:ext cx="4572000" cy="3657600"/>
                    </a:xfrm>
                    <a:prstGeom prst="rect">
                      <a:avLst/>
                    </a:prstGeom>
                  </pic:spPr>
                </pic:pic>
              </a:graphicData>
            </a:graphic>
          </wp:inline>
        </w:drawing>
      </w:r>
      <w:bookmarkStart w:id="4" w:name="i-5"/>
      <w:bookmarkEnd w:id="4"/>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Identification and onboarding of new brand partners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Onboarding new brand partners is a driver of our growth and attracting brand partners from various geographies and across different categories is crucial to our success. We have made significant investments to create an efficient go-to-market strategy and focus on identifying and partnering with brand partners across a wide range of industries and regions. Our current brand portfolio, which includes over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brand partners, represents only a small portion of the global ecommerce market that we believe can benefit from our solutions. Successfully tapping into this opportunity will depend on the effectiveness of our solutions, our ability to effectively sell inventory, the competitive landscape and the strength of our marketing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in our technology</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 key factor influencing our performance is our ongoing investment in our technology platform to optimize the ecommerce equation and enhance our ecommerce acceleration capabilities across global marketplaces. Currently, </w:t>
      </w:r>
      <w:r>
        <w:rPr>
          <w:rFonts w:ascii="Times New Roman;serif" w:hAnsi="Times New Roman;serif"/>
          <w:b w:val="false"/>
          <w:color w:val="000000"/>
          <w:sz w:val="20"/>
        </w:rPr>
        <w:t>approximately 480 software engineers, data scientists and other technology professionals</w:t>
      </w:r>
      <w:r>
        <w:rPr>
          <w:color w:val="000000"/>
          <w:shd w:fill="FFFFFF" w:val="clear"/>
        </w:rPr>
        <w:t xml:space="preserve"> </w:t>
      </w:r>
      <w:r>
        <w:rPr>
          <w:rFonts w:ascii="Times New Roman;serif" w:hAnsi="Times New Roman;serif"/>
          <w:b w:val="false"/>
          <w:color w:val="000000"/>
          <w:sz w:val="20"/>
          <w:shd w:fill="FFFFFF" w:val="clear"/>
        </w:rPr>
        <w:t xml:space="preserve">support our technology functions, and to date, we have invested over </w:t>
      </w:r>
      <w:r>
        <w:rPr>
          <w:rFonts w:ascii="Times New Roman;serif" w:hAnsi="Times New Roman;serif"/>
          <w:b w:val="false"/>
          <w:color w:val="000000"/>
          <w:sz w:val="20"/>
        </w:rPr>
        <w:t>$160 million</w:t>
      </w:r>
      <w:r>
        <w:rPr>
          <w:color w:val="000000"/>
          <w:shd w:fill="FFFFFF" w:val="clear"/>
        </w:rPr>
        <w:t xml:space="preserve"> </w:t>
      </w:r>
      <w:r>
        <w:rPr>
          <w:rFonts w:ascii="Times New Roman;serif" w:hAnsi="Times New Roman;serif"/>
          <w:b w:val="false"/>
          <w:color w:val="000000"/>
          <w:sz w:val="20"/>
          <w:shd w:fill="FFFFFF" w:val="clear"/>
        </w:rPr>
        <w:t xml:space="preserve">in technology development and related acquisitions. These investments are crucial for optimizing the ecommerce equation and strengthening our </w:t>
      </w:r>
      <w:r>
        <w:rPr>
          <w:rFonts w:ascii="Times New Roman;serif" w:hAnsi="Times New Roman;serif"/>
          <w:b w:val="false"/>
          <w:color w:val="000000"/>
          <w:sz w:val="20"/>
        </w:rPr>
        <w:t>proprietary data set consisting of more than 66 trillion data points.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are also investing to accelerate our AI capabilities. AI is particularly well suited for ecommerce, given the global complexity, importance of content and of immense scale of user generated data points. We utilize AI in a number of areas in our business, including </w:t>
      </w:r>
      <w:r>
        <w:rPr>
          <w:rFonts w:ascii="Times New Roman;serif" w:hAnsi="Times New Roman;serif"/>
          <w:b w:val="false"/>
          <w:color w:val="000000"/>
          <w:sz w:val="20"/>
        </w:rPr>
        <w:t>SEO, advertising, content generation and inventory management</w:t>
      </w:r>
      <w:r>
        <w:rPr>
          <w:rFonts w:ascii="Times New Roman;serif" w:hAnsi="Times New Roman;serif"/>
          <w:b w:val="false"/>
          <w:color w:val="000000"/>
          <w:sz w:val="20"/>
          <w:shd w:fill="FFFFFF" w:val="clear"/>
        </w:rPr>
        <w:t xml:space="preserve">. Additionally, AI can help refine our pricing strategies by dynamically considering market conditions, competitor pricing and consumer demand.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in future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already made substantial investments in our business, we believe that the large and growing global market we are targeting is still in its nascent stages. To capitalize on this potential, we plan to continue investing in our business to drive growth, expand internationally, enhance our operations and boost revenue. Recognizing the significant opportunities for further expansion, we are committed to increasing our investments to enhance our presence on both existing and new global ecommerce marketplaces. We also see immense potential in global marketplaces and are dedicated to building localized teams that can leverage regional insights to accelerate the sales of our brand partners’ products. Additionally, we are channeling resources to grow our direct sales team, enabling us to onboard more high-quality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partners and diversify our industry category mix over time. Furthermore, as we transition to becoming a public company, we anticipate incurring additional general and administrative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Operational capabilities and capital-efficient processes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key factor influencing our performance is our ability to drive efficient operations and maintain capital-efficient processes. By concentrating on these areas, we aim to develop a scalable operation that supports our global growth objectives while maintaining high levels of customer satisfaction and operational efficiency.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To enhance capital efficiency, we prioritize optimizing our inventory levels and increasing inventory turns, which have improved from </w:t>
      </w:r>
      <w:r>
        <w:rPr>
          <w:rFonts w:ascii="Times New Roman;serif" w:hAnsi="Times New Roman;serif"/>
          <w:b w:val="false"/>
          <w:color w:val="000000"/>
          <w:sz w:val="20"/>
        </w:rPr>
        <w:t>4.4 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Additionally, we seek to strategically avoid capital-intensive operations such as last-mile delivery and trucking, choosing instead to partner with leading third-party providers. We also take advantage of our scale to drive operational cost efficiencies. For example, because we process very high volumes, we batch our shipments, allowing us to ship more than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of our units in the United States in </w:t>
      </w:r>
      <w:r>
        <w:rPr>
          <w:rFonts w:ascii="Times New Roman;serif" w:hAnsi="Times New Roman;serif"/>
          <w:b w:val="false"/>
          <w:color w:val="000000"/>
          <w:sz w:val="20"/>
        </w:rPr>
        <w:t>full truck loads,</w:t>
      </w:r>
      <w:r>
        <w:rPr>
          <w:color w:val="000000"/>
          <w:shd w:fill="FFFFFF" w:val="clear"/>
        </w:rPr>
        <w:t xml:space="preserve"> </w:t>
      </w:r>
      <w:r>
        <w:rPr>
          <w:rFonts w:ascii="Times New Roman;serif" w:hAnsi="Times New Roman;serif"/>
          <w:b w:val="false"/>
          <w:color w:val="000000"/>
          <w:sz w:val="20"/>
          <w:shd w:fill="FFFFFF" w:val="clear"/>
        </w:rPr>
        <w:t>which have a shipping cost that is generally more than 75% below less-than-full truckloads.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Monetization of incremental solutions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generate a substantial majority of our revenue from consumer product sales on global ecommerce marketplaces. We also continue to invest in new and innovative solutions to diversify our revenue mix. We are committed to enhancing our SaaS capabilities, with a particular focus on our Product Experience Management (“PXM”) and Creators. These solutions enable brands to more easily generate optimized content across all ecommerce channels, while also supporting the expanding social commerce</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sector by providing a centralized platform for recruiting, engaging and managing affiliate marketing campaigns. Additionally, we are investing in our fulfillment capabilities to accelerate our shipping processes and offer marketplace preparation services to other third-party sellers. We are also investing in expanding the reach of our middle mile solution to save on shipping costs into marketplaces. Furthermore, we are dedicated to enhancing our Services solutions, which deliver tailored consulting and design solutions to our brand partners.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 and Non-GAAP Financial Measure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measure our business using both financial and operating metrics and use the following metric and measure to assess the near-term and long-term performance of our overall business, including identifying trends, formulating financial projections, making strategic decisions, assessing operational efficiencies and monitoring our business.</w:t>
      </w:r>
    </w:p>
    <w:p>
      <w:pPr>
        <w:pStyle w:val="TextBody"/>
        <w:bidi w:val="0"/>
        <w:spacing w:before="0" w:after="180"/>
        <w:jc w:val="center"/>
        <w:rPr/>
      </w:pPr>
      <w:r>
        <w:rPr/>
        <w:drawing>
          <wp:inline distT="0" distB="0" distL="0" distR="0">
            <wp:extent cx="1828800" cy="2190750"/>
            <wp:effectExtent l="0" t="0" r="0" b="0"/>
            <wp:docPr id="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 descr=""/>
                    <pic:cNvPicPr>
                      <a:picLocks noChangeAspect="1" noChangeArrowheads="1"/>
                    </pic:cNvPicPr>
                  </pic:nvPicPr>
                  <pic:blipFill>
                    <a:blip r:embed="rId7"/>
                    <a:stretch>
                      <a:fillRect/>
                    </a:stretch>
                  </pic:blipFill>
                  <pic:spPr bwMode="auto">
                    <a:xfrm>
                      <a:off x="0" y="0"/>
                      <a:ext cx="1828800" cy="2190750"/>
                    </a:xfrm>
                    <a:prstGeom prst="rect">
                      <a:avLst/>
                    </a:prstGeom>
                  </pic:spPr>
                </pic:pic>
              </a:graphicData>
            </a:graphic>
          </wp:inline>
        </w:drawing>
      </w:r>
      <w:bookmarkStart w:id="5" w:name="i-6"/>
      <w:bookmarkEnd w:id="5"/>
    </w:p>
    <w:p>
      <w:pPr>
        <w:pStyle w:val="TextBody"/>
        <w:bidi w:val="0"/>
        <w:spacing w:before="0" w:after="180"/>
        <w:jc w:val="center"/>
        <w:rPr/>
      </w:pPr>
      <w:r>
        <w:rPr/>
        <w:drawing>
          <wp:inline distT="0" distB="0" distL="0" distR="0">
            <wp:extent cx="1828800" cy="2190750"/>
            <wp:effectExtent l="0" t="0" r="0" b="0"/>
            <wp:docPr id="6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 descr=""/>
                    <pic:cNvPicPr>
                      <a:picLocks noChangeAspect="1" noChangeArrowheads="1"/>
                    </pic:cNvPicPr>
                  </pic:nvPicPr>
                  <pic:blipFill>
                    <a:blip r:embed="rId8"/>
                    <a:stretch>
                      <a:fillRect/>
                    </a:stretch>
                  </pic:blipFill>
                  <pic:spPr bwMode="auto">
                    <a:xfrm>
                      <a:off x="0" y="0"/>
                      <a:ext cx="1828800" cy="2190750"/>
                    </a:xfrm>
                    <a:prstGeom prst="rect">
                      <a:avLst/>
                    </a:prstGeom>
                  </pic:spPr>
                </pic:pic>
              </a:graphicData>
            </a:graphic>
          </wp:inline>
        </w:drawing>
      </w:r>
      <w:bookmarkStart w:id="6" w:name="i-7"/>
      <w:bookmarkEnd w:id="6"/>
    </w:p>
    <w:p>
      <w:pPr>
        <w:pStyle w:val="TextBody"/>
        <w:bidi w:val="0"/>
        <w:spacing w:before="0" w:after="180"/>
        <w:jc w:val="center"/>
        <w:rPr/>
      </w:pPr>
      <w:r>
        <w:rPr/>
        <w:drawing>
          <wp:inline distT="0" distB="0" distL="0" distR="0">
            <wp:extent cx="1828800" cy="2190750"/>
            <wp:effectExtent l="0" t="0" r="0" b="0"/>
            <wp:docPr id="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 descr=""/>
                    <pic:cNvPicPr>
                      <a:picLocks noChangeAspect="1" noChangeArrowheads="1"/>
                    </pic:cNvPicPr>
                  </pic:nvPicPr>
                  <pic:blipFill>
                    <a:blip r:embed="rId9"/>
                    <a:stretch>
                      <a:fillRect/>
                    </a:stretch>
                  </pic:blipFill>
                  <pic:spPr bwMode="auto">
                    <a:xfrm>
                      <a:off x="0" y="0"/>
                      <a:ext cx="1828800" cy="2190750"/>
                    </a:xfrm>
                    <a:prstGeom prst="rect">
                      <a:avLst/>
                    </a:prstGeom>
                  </pic:spPr>
                </pic:pic>
              </a:graphicData>
            </a:graphic>
          </wp:inline>
        </w:drawing>
      </w:r>
      <w:bookmarkStart w:id="7" w:name="i-8"/>
      <w:bookmarkEnd w:id="7"/>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we generated revenue of $2,501 million, representing a 39% increase from $1,796 million for the year ended December 31, 2024. During the same period, our net income decreased 76%, from $68 million to $16 million, and our Adjusted EBITDA increased 52%, from $101 million to $153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For additional information about our non-GAAP financial measure, including reconciliations of the non-GAAP financial measure to the most directly comparable financial measure stated in accordance with GAAP, see below.</w:t>
      </w:r>
    </w:p>
    <w:p>
      <w:pPr>
        <w:pStyle w:val="TextBody"/>
        <w:bidi w:val="0"/>
        <w:spacing w:lineRule="auto" w:line="288" w:before="0" w:after="240"/>
        <w:ind w:left="0" w:right="0" w:hanging="270"/>
        <w:jc w:val="left"/>
        <w:rPr/>
      </w:pPr>
      <w:r>
        <w:rPr>
          <w:rFonts w:ascii="Times New Roman;serif" w:hAnsi="Times New Roman;serif"/>
          <w:b w:val="false"/>
          <w:i/>
          <w:color w:val="000000"/>
          <w:sz w:val="10"/>
        </w:rPr>
        <w:t>4</w:t>
      </w:r>
      <w:r>
        <w:rPr>
          <w:color w:val="000000"/>
        </w:rPr>
        <w:t>    </w:t>
      </w:r>
      <w:r>
        <w:rPr>
          <w:rFonts w:ascii="Times New Roman;serif" w:hAnsi="Times New Roman;serif"/>
          <w:b w:val="false"/>
          <w:i/>
          <w:color w:val="000000"/>
          <w:sz w:val="16"/>
        </w:rPr>
        <w:t>The practice of selling products and services directly through social media platforms, rather than redirecting users to a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Revenue Retention 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NRR is an important metric to measure the long-term value of our brand partner relationships. In any given period, we calculate NRR by comparing total revenue attributable to all existing brand partners in the current trailing 12-month period to that of the previous trailing 12-month period. This metric, expressed as a percentage, provides valuable insight into the accelerated growth delivered through our platform, the effectiveness of our brand expansion strategies and our ability to deepen relationships with existing brand partners. For the purpose of our NRR calculation, we only include brand partners that, as of the measurement date, have been with Pattern for more than twelve months since we first generated over $1,000 in revenue attributable to such brand partner. Additionally, for those existing brand partners that, as of the measurement date, have been with Pattern for more than twelve full months but less than 24 full months since we first generated over $1,000 in revenue attributable to such brand partner, we only include current period revenue for the corresponding months in the current period for which the brand partner had attributable revenue in the previous period. For example, when calculating NRR as of December 31, 2025 for a brand partner that Pattern first generated over $1,000 of attributable revenue in June 2024, we would only include that brand partner’s attributable revenue from June 2025 through December 2025 in the numerator and that brand partner’s attributable revenue from June 2024 through December 2024 in the denominator. Current period revenue includes the impact of any expansion, contraction and attrition. NRR excludes revenue attributable to new brand partners during the current period. All revenue attributable to services relating to consulting and design are excluded.</w:t>
      </w:r>
    </w:p>
    <w:tbl>
      <w:tblPr>
        <w:tblW w:w="5081"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233"/>
        <w:gridCol w:w="233"/>
        <w:gridCol w:w="409"/>
        <w:gridCol w:w="164"/>
        <w:gridCol w:w="164"/>
        <w:gridCol w:w="164"/>
        <w:gridCol w:w="233"/>
        <w:gridCol w:w="233"/>
        <w:gridCol w:w="477"/>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accounting principles generally accepted in the United States (“GAAP”), we believe that Adjusted EBITDA, a non-GAAP financial measure, is useful in evaluating our operational performance. We calculate Adjusted EBITDA, as net income (loss) excluding depreciation and amortization; interest income (expense), net; provision (benefit) from income taxes; share-based compensation expense and related taxes; the stock amendment expense; indirect IPO costs; and other items that we do not consider representative of our underlying operations. We believe it is useful to exclude charges, such as depreciation and amortization and share-based compensation expense from our Adjusted EBITDA because the amount of such expenses in any specific period may not directly correlate to the underlying performance of our business operations. We believe it is useful to exclude interest income (expense), net; provision (benefit) from income taxes; and other items that are not components of our core business operations. Non-GAAP financial measures such as Adjusted EBITDA should not be considered in isolation or as an alternative to net income (loss) or any other measure of financial performance calculated and prescribed in accordance with GAAP. In addition, Adjusted EBITDA may not be comparable to similarly titled measures in other organizations because other organizations may not calculate Adjusted EBITDA in the same manner as we do, thus limiting its usefulness as a comparative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non-GAAP Adjusted EBITDA to the most directly comparable financial measure presented in accordance with GAAP.</w:t>
      </w:r>
    </w:p>
    <w:tbl>
      <w:tblPr>
        <w:tblW w:w="8323" w:type="dxa"/>
        <w:jc w:val="left"/>
        <w:tblInd w:w="0" w:type="dxa"/>
        <w:tblLayout w:type="fixed"/>
        <w:tblCellMar>
          <w:top w:w="28" w:type="dxa"/>
          <w:left w:w="28" w:type="dxa"/>
          <w:bottom w:w="28" w:type="dxa"/>
          <w:right w:w="28" w:type="dxa"/>
        </w:tblCellMar>
      </w:tblPr>
      <w:tblGrid>
        <w:gridCol w:w="1395"/>
        <w:gridCol w:w="1229"/>
        <w:gridCol w:w="123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(deduct):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 and related taxes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 amendment expense</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initial public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wind down of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(1)Share-based compensation and related taxes include compensation expense for both stock and cash settled restricted stock units and the related employer taxes.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(2)Stock amendment expense represents a non-cash expense associated with the filing and effectiveness of our amended and restated certificate of incorporation in August 2025, which modified the terms of the Founder Voting and Non-Voting Preferred Stock (“the Founder Preferred Stock Amendment”) as described under Note 11—Stockholders’ Equity, in the Notes to the consolidated financial statements, included in Part II, Item 8, Financial Statements and Supplementary Data, in this Annual Report on Form 10-K. This expense was specific to the amendment of the Founder Preferred Stock and is not expected to recur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Consolidated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derive revenue primarily from consumer product sales attributable to brand partners, across a number of categories including health and wellness, beauty and personal care, home and lifestyle, pet, sports and outdoors and consumer electronics, through both domestic and international ecommerce marketplaces. Revenue from the sale of products is recorded when products are shipped to the customer, net of returns allowances. Taxes collected from customers are excluded from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generate revenue through subscription and consulting fees for our comprehensive suite of ecommerce solutions, including advanced advertising and marketing technology, actionable business insights, compliance solutions, logistics and fulfillment support, creative design and strategic growth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goods sold consists of the purchase price of inventory sold to customers. Shipping costs to receive products from our brand partners and costs to ship products to third-party fulfillment centers are included in our inventory and recognized as cost of goods sold upon sale of the products to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Operations, 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 expenses consist of third-party fulfillment costs; payroll and related expenses; warehousing costs; facilities and equipment, including depreciation and amortization, rent and other occupancy expenses; professional and legal fees; as well as costs associated with other general costs for corporate functions, including accounting, finance and human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Fulfillment costs represent those costs incurred from third-party fulfillment centers and in operating and staffing our fulfillment centers, including costs related to buying, receiving, inspecting and warehousing inventories, picking, packaging and preparing customer orders for shipment.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of third-party online marketplace commission fees, targeted online advertising and other marketing expenses, payroll and related expenses for personnel engaged in marketing and selling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include payroll and related expenses for employees involved in the research and development of our technology, development and design of our websites and curation and display of products available on third-party marketplaces.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amendment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and effectiveness of our amended and restated certificate of incorporation in August 2025, the Company amended the conversion terms of its Founder Voting and Non-Voting Preferred Stock, as described under Note 11—Stockholders’ Equity in the notes to the consolidated financial statements, included in Part II, Item 8, Financial Statements and Supplementary Data, in this Annual Report on Form 10-K. The amendment to the conversion terms represented a non-pro rata distribution to the Founder Preferred Stockholders. As a result, the Company recognized a non-cash expense of $32.7 million for the incremental fair value conveyed through the amended terms. This expense was specific to the amendment of the Founder Preferred Stock and is not expected to recur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Consolidated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tbl>
      <w:tblPr>
        <w:tblW w:w="7269" w:type="dxa"/>
        <w:jc w:val="left"/>
        <w:tblInd w:w="0" w:type="dxa"/>
        <w:tblLayout w:type="fixed"/>
        <w:tblCellMar>
          <w:top w:w="28" w:type="dxa"/>
          <w:left w:w="28" w:type="dxa"/>
          <w:bottom w:w="28" w:type="dxa"/>
          <w:right w:w="28" w:type="dxa"/>
        </w:tblCellMar>
      </w:tblPr>
      <w:tblGrid>
        <w:gridCol w:w="1226"/>
        <w:gridCol w:w="1079"/>
        <w:gridCol w:w="1085"/>
        <w:gridCol w:w="109"/>
        <w:gridCol w:w="109"/>
        <w:gridCol w:w="143"/>
        <w:gridCol w:w="143"/>
        <w:gridCol w:w="278"/>
        <w:gridCol w:w="1286"/>
        <w:gridCol w:w="143"/>
        <w:gridCol w:w="109"/>
        <w:gridCol w:w="109"/>
        <w:gridCol w:w="109"/>
        <w:gridCol w:w="211"/>
        <w:gridCol w:w="97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1,708,979 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tbl>
      <w:tblPr>
        <w:tblW w:w="6742" w:type="dxa"/>
        <w:jc w:val="left"/>
        <w:tblInd w:w="0" w:type="dxa"/>
        <w:tblLayout w:type="fixed"/>
        <w:tblCellMar>
          <w:top w:w="28" w:type="dxa"/>
          <w:left w:w="28" w:type="dxa"/>
          <w:bottom w:w="28" w:type="dxa"/>
          <w:right w:w="28" w:type="dxa"/>
        </w:tblCellMar>
      </w:tblPr>
      <w:tblGrid>
        <w:gridCol w:w="1177"/>
        <w:gridCol w:w="1037"/>
        <w:gridCol w:w="1041"/>
        <w:gridCol w:w="109"/>
        <w:gridCol w:w="109"/>
        <w:gridCol w:w="302"/>
        <w:gridCol w:w="302"/>
        <w:gridCol w:w="302"/>
        <w:gridCol w:w="302"/>
        <w:gridCol w:w="787"/>
        <w:gridCol w:w="109"/>
        <w:gridCol w:w="109"/>
        <w:gridCol w:w="109"/>
        <w:gridCol w:w="285"/>
        <w:gridCol w:w="286"/>
        <w:gridCol w:w="37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274"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and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7004" w:type="dxa"/>
        <w:jc w:val="left"/>
        <w:tblInd w:w="0" w:type="dxa"/>
        <w:tblLayout w:type="fixed"/>
        <w:tblCellMar>
          <w:top w:w="28" w:type="dxa"/>
          <w:left w:w="28" w:type="dxa"/>
          <w:bottom w:w="28" w:type="dxa"/>
          <w:right w:w="28" w:type="dxa"/>
        </w:tblCellMar>
      </w:tblPr>
      <w:tblGrid>
        <w:gridCol w:w="461"/>
        <w:gridCol w:w="406"/>
        <w:gridCol w:w="408"/>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33"/>
        <w:gridCol w:w="233"/>
        <w:gridCol w:w="54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37" w:type="dxa"/>
            <w:gridSpan w:val="6"/>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729" w:type="dxa"/>
            <w:gridSpan w:val="21"/>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57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increase in revenue was primarily driven by the growth of consumer product sales attributable to existing brand partners</w:t>
      </w:r>
      <w:r>
        <w:rPr>
          <w:rFonts w:ascii="Times New Roman;serif" w:hAnsi="Times New Roman;serif"/>
          <w:b w:val="false"/>
          <w:color w:val="000000"/>
          <w:sz w:val="13"/>
        </w:rPr>
        <w:t>5</w:t>
      </w:r>
      <w:r>
        <w:rPr>
          <w:rFonts w:ascii="Times New Roman;serif" w:hAnsi="Times New Roman;serif"/>
          <w:b w:val="false"/>
          <w:color w:val="000000"/>
          <w:sz w:val="20"/>
        </w:rPr>
        <w:t>, which increased from $1,564.4 million to $2,219.0 million, or 41.9%, resulting in an NRR of 124% for the year ended December 31, 2025. New brand partner</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revenue increased from $231.8 million to $282.3 million, or 21.8%, for the year ended December 31, 2025. Revenue from Amazon marketplaces increased $636.5 million, or 37.9%, year-over-year and revenue not attributable to Amazon increased $68.7 million, or 59.9%, year-over-year. Collectively, international revenue increased $102.5 million, or 62.8%, year-over-year.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tbl>
      <w:tblPr>
        <w:tblW w:w="7363" w:type="dxa"/>
        <w:jc w:val="left"/>
        <w:tblInd w:w="0" w:type="dxa"/>
        <w:tblLayout w:type="fixed"/>
        <w:tblCellMar>
          <w:top w:w="28" w:type="dxa"/>
          <w:left w:w="28" w:type="dxa"/>
          <w:bottom w:w="28" w:type="dxa"/>
          <w:right w:w="28" w:type="dxa"/>
        </w:tblCellMar>
      </w:tblPr>
      <w:tblGrid>
        <w:gridCol w:w="591"/>
        <w:gridCol w:w="520"/>
        <w:gridCol w:w="523"/>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33"/>
        <w:gridCol w:w="233"/>
        <w:gridCol w:w="5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37"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57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cost of goods sold was primarily driven by an increase in revenue of 39.3%. The increase in cost of goods sold was in line with the increase in revenue on a percentage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Operations, General and Administrative</w:t>
      </w:r>
    </w:p>
    <w:tbl>
      <w:tblPr>
        <w:tblW w:w="8684" w:type="dxa"/>
        <w:jc w:val="left"/>
        <w:tblInd w:w="0" w:type="dxa"/>
        <w:tblLayout w:type="fixed"/>
        <w:tblCellMar>
          <w:top w:w="28" w:type="dxa"/>
          <w:left w:w="28" w:type="dxa"/>
          <w:bottom w:w="28" w:type="dxa"/>
          <w:right w:w="28" w:type="dxa"/>
        </w:tblCellMar>
      </w:tblPr>
      <w:tblGrid>
        <w:gridCol w:w="1175"/>
        <w:gridCol w:w="1036"/>
        <w:gridCol w:w="10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11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37"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operations, general and administrative expenses was primarily driven by an increase of $102.1 million in fulfillment costs associated with the increase in consumer product sales and the recognition of $52.5 million of stock-based compensation expense upon meeting the performance-based vesting condition for outstanding RSUs in connection </w:t>
      </w:r>
    </w:p>
    <w:p>
      <w:pPr>
        <w:pStyle w:val="TextBody"/>
        <w:bidi w:val="0"/>
        <w:spacing w:lineRule="auto" w:line="288" w:before="0" w:after="24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6"/>
        </w:rPr>
        <w:t>Existing brand partners are brand partners that have been with Pattern for more than twelve months since Pattern first generated over $1,000 in revenue attributable to such brand partner.</w:t>
      </w:r>
    </w:p>
    <w:p>
      <w:pPr>
        <w:pStyle w:val="TextBody"/>
        <w:bidi w:val="0"/>
        <w:spacing w:lineRule="auto" w:line="288" w:before="0" w:after="24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6"/>
        </w:rPr>
        <w:t xml:space="preserve">New brand partners are all other brand partners that are not existing brand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our IPO. The remaining increase for the year ended December 31, 2025 was primarily driven by an increase in corporate headcount and rent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7183" w:type="dxa"/>
        <w:jc w:val="left"/>
        <w:tblInd w:w="0" w:type="dxa"/>
        <w:tblLayout w:type="fixed"/>
        <w:tblCellMar>
          <w:top w:w="28" w:type="dxa"/>
          <w:left w:w="28" w:type="dxa"/>
          <w:bottom w:w="28" w:type="dxa"/>
          <w:right w:w="28" w:type="dxa"/>
        </w:tblCellMar>
      </w:tblPr>
      <w:tblGrid>
        <w:gridCol w:w="634"/>
        <w:gridCol w:w="559"/>
        <w:gridCol w:w="5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37"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was primarily driven by an increase in marketplace commissions of $99.3 million, which generally grew in line with revenue on a percentage basis, and the recognition of $24.7 million of stock-based compensation expense upon meeting the performance-based vesting condition for outstanding RSUs in connection with our IPO. Partner marketing and advertising expenses increased $15.3 million year-over-year and the remaining increase of $18.6 million primarily related to additional brand management, sales and marketing, advertising and creative headcount.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7528"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85"/>
        <w:gridCol w:w="286"/>
        <w:gridCol w:w="54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42"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521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costs was primarily driven by the recognition of $20.0 million of stock-based compensation expense upon meeting the performance-based vesting condition for outstanding RSUs in connection with our IPO. The remaining increase was driven by the headcount increase of software engineers, data scientists and other technology professionals to drive new platform capabilities and enhanced features.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amendment expense</w:t>
      </w:r>
    </w:p>
    <w:tbl>
      <w:tblPr>
        <w:tblW w:w="7134" w:type="dxa"/>
        <w:jc w:val="left"/>
        <w:tblInd w:w="0" w:type="dxa"/>
        <w:tblLayout w:type="fixed"/>
        <w:tblCellMar>
          <w:top w:w="28" w:type="dxa"/>
          <w:left w:w="28" w:type="dxa"/>
          <w:bottom w:w="28" w:type="dxa"/>
          <w:right w:w="28" w:type="dxa"/>
        </w:tblCellMar>
      </w:tblPr>
      <w:tblGrid>
        <w:gridCol w:w="824"/>
        <w:gridCol w:w="725"/>
        <w:gridCol w:w="730"/>
        <w:gridCol w:w="211"/>
        <w:gridCol w:w="406"/>
        <w:gridCol w:w="109"/>
        <w:gridCol w:w="109"/>
        <w:gridCol w:w="109"/>
        <w:gridCol w:w="109"/>
        <w:gridCol w:w="211"/>
        <w:gridCol w:w="796"/>
        <w:gridCol w:w="109"/>
        <w:gridCol w:w="109"/>
        <w:gridCol w:w="109"/>
        <w:gridCol w:w="109"/>
        <w:gridCol w:w="211"/>
        <w:gridCol w:w="796"/>
        <w:gridCol w:w="109"/>
        <w:gridCol w:w="109"/>
        <w:gridCol w:w="109"/>
        <w:gridCol w:w="109"/>
        <w:gridCol w:w="268"/>
        <w:gridCol w:w="268"/>
        <w:gridCol w:w="380"/>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4855"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and effectiveness of our amended and restated certificate of incorporation in August 2025, the Company amended the conversion terms of its Founder Voting and Non-Voting Preferred Stock, as described under Note 11—Stockholders’ Equity in the Notes to the consolidated financial statements, included in Part II, Item 8, Financial Statements and Supplementary Data, in this Annual Report on Form 10-K. The amendment to the conversion terms represented a non-pro rata distribution to the Founder Preferred Stockholders. As a result, the Company recognized a non-cash expense of $32.7 million for the incremental fair value conveyed through the amended terms. This expense was specific to the amendment of the Founder Preferred Stock and is not expected to recur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tbl>
      <w:tblPr>
        <w:tblW w:w="8444" w:type="dxa"/>
        <w:jc w:val="left"/>
        <w:tblInd w:w="0" w:type="dxa"/>
        <w:tblLayout w:type="fixed"/>
        <w:tblCellMar>
          <w:top w:w="28" w:type="dxa"/>
          <w:left w:w="28" w:type="dxa"/>
          <w:bottom w:w="28" w:type="dxa"/>
          <w:right w:w="28" w:type="dxa"/>
        </w:tblCellMar>
      </w:tblPr>
      <w:tblGrid>
        <w:gridCol w:w="1090"/>
        <w:gridCol w:w="960"/>
        <w:gridCol w:w="965"/>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315"/>
        <w:gridCol w:w="316"/>
        <w:gridCol w:w="54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02" w:type="dxa"/>
            <w:gridSpan w:val="6"/>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54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provision (benefit) for income taxes was primarily driven by the Company’s IPO and recognition of stock compensation expense for restricted stock awards at the time of our IPO. This benefit was offset in part by non-deductible executive compensation and non-deductible stock amendment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cash and cash equivalents. At December 31, 2025, we had cash and cash equivalents of $289.0 million. We also have access to external sources of liquidity through our revolving credit facility as further described within “Credit Facility” below. In September 2025, we completed our IPO which resulted in aggregate cash proceeds of $135.0 million, after deducting approximately $10.5 million in underwriting discounts and commissions and $4.5 million in offering-related expenses. A portion of the net proceeds from our IPO were distributed to satisfy the tax withholding and remittance obligations related to the settlement of our outstanding RSUs for which the service-based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vesting condition has been satisfied and for which the liquidity-based vesting conditions was satisfied in connection with our IPO. Payment of taxes withheld upon vesting of RSUs totaled $81.0 million for the year ended December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cash from operations and availability under our revolving credit facility will be sufficient to fund our working capital, capital expenditure requirements and contractual obligations for at least the next twelve months. Our opinions concerning liquidity are based on currently available information. To the extent our liquidity assumptions prove to be inaccurate, or if circumstances change, future availability of credit or other sources of financing may be reduced and our liquidity could be adversely affected. In addition, we may choose to raise additional funds at any time through equity or debt financing arrangements, which may or may not be needed for additional working capital, capital expenditures or other strategic investments. Our future capital requirements and the adequacy of available funds will depend on many factors, including those described in Part I, Item 1A, Risk Factors included elsewhere in this Annual Report on Form 10-K. Depending on the severity and direct impact of these factors on us, we may be unable to secure additional financing to meet our operating requirements on terms favorable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cash flow information for the periods presented:</w:t>
      </w:r>
    </w:p>
    <w:tbl>
      <w:tblPr>
        <w:tblW w:w="7146" w:type="dxa"/>
        <w:jc w:val="left"/>
        <w:tblInd w:w="0" w:type="dxa"/>
        <w:tblLayout w:type="fixed"/>
        <w:tblCellMar>
          <w:top w:w="28" w:type="dxa"/>
          <w:left w:w="28" w:type="dxa"/>
          <w:bottom w:w="28" w:type="dxa"/>
          <w:right w:w="28" w:type="dxa"/>
        </w:tblCellMar>
      </w:tblPr>
      <w:tblGrid>
        <w:gridCol w:w="1525"/>
        <w:gridCol w:w="1343"/>
        <w:gridCol w:w="1347"/>
        <w:gridCol w:w="109"/>
        <w:gridCol w:w="109"/>
        <w:gridCol w:w="109"/>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7"/>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$99.4 million for the year ended December 31, 2025, which primarily consisted of $16.2 million of net income, $129.7 million of non-cash adjustments, such as stock-based compensation, stock amendment expense, depreciation and amortization expense and deferred income taxes, and an increase in income tax receivables of $16.2 million resulting from current period pre-tax losses and a cash decrease of $30.3 million from the management of the remaining working capital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$70.3 million for the year ended December 31, 2024, which primarily consisted of $67.9 million of net income, $13.6 million of non-cash adjustments, such as depreciation and amortization expense, and a cash decrease of $11.1 million from the management of working capital.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$39.8 million for the year ended December 31, 2025, primarily related to $20.5 million of capital expenditures for our internally developed software and investments in machinery and leasehold improvements related to our North Las Vegas warehouse and other warehouse automation and $19.3 million for strategic business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$20.4 million for the year ended December 31, 2024, primarily related to capital expenditures for our internally developed software and investments in machinery and leasehold improvements related to our North Las Vegas warehouse and other warehouse automation.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$53.7 million for the year ended December 31, 2025, primarily related to $135.0 million of proceeds from the sale of common stock, net of underwriting discounts and commissions and offering costs, partially offset by the payment of $81.0 million for taxes withheld upon the vesting of restricted stock awards triggered by our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$2.9 million for the year ended December 31, 2024 related to the repurchase of 182,008 shares of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December 31, 2025, we were party to a revolving credit facility </w:t>
      </w:r>
      <w:r>
        <w:rPr>
          <w:rFonts w:ascii="Times New Roman;serif" w:hAnsi="Times New Roman;serif"/>
          <w:b w:val="false"/>
          <w:color w:val="000000"/>
          <w:sz w:val="20"/>
          <w:shd w:fill="FFFFFF" w:val="clear"/>
        </w:rPr>
        <w:t xml:space="preserve">with JPMorgan Chase Bank, N.A. and other lenders pursuant to the </w:t>
      </w:r>
      <w:r>
        <w:rPr>
          <w:rFonts w:ascii="Times New Roman;serif" w:hAnsi="Times New Roman;serif"/>
          <w:b w:val="false"/>
          <w:color w:val="000000"/>
          <w:sz w:val="20"/>
        </w:rPr>
        <w:t xml:space="preserve">Credit Agreement </w:t>
      </w:r>
      <w:r>
        <w:rPr>
          <w:rFonts w:ascii="Times New Roman;serif" w:hAnsi="Times New Roman;serif"/>
          <w:b w:val="false"/>
          <w:color w:val="000000"/>
          <w:sz w:val="20"/>
          <w:shd w:fill="FFFFFF" w:val="clear"/>
        </w:rPr>
        <w:t xml:space="preserve">dated September 4, 2025 </w:t>
      </w:r>
      <w:r>
        <w:rPr>
          <w:rFonts w:ascii="Times New Roman;serif" w:hAnsi="Times New Roman;serif"/>
          <w:b w:val="false"/>
          <w:color w:val="000000"/>
          <w:sz w:val="20"/>
        </w:rPr>
        <w:t>(the “Credit Facility”)</w:t>
      </w:r>
      <w:r>
        <w:rPr>
          <w:rFonts w:ascii="Times New Roman;serif" w:hAnsi="Times New Roman;serif"/>
          <w:b w:val="false"/>
          <w:color w:val="000000"/>
          <w:sz w:val="20"/>
          <w:shd w:fill="FFFFFF" w:val="clear"/>
        </w:rPr>
        <w:t xml:space="preserve">. The Credit Facility provides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non-amortizing revolving loans in the aggregate principal amount of up to $150 million, </w:t>
      </w:r>
      <w:r>
        <w:rPr>
          <w:rFonts w:ascii="Times New Roman;serif" w:hAnsi="Times New Roman;serif"/>
          <w:b w:val="false"/>
          <w:color w:val="000000"/>
          <w:sz w:val="20"/>
        </w:rPr>
        <w:t xml:space="preserve">with the option to increase the aggregate principal amount up to </w:t>
      </w:r>
      <w:r>
        <w:rPr>
          <w:rFonts w:ascii="Times New Roman;serif" w:hAnsi="Times New Roman;serif"/>
          <w:b w:val="false"/>
          <w:color w:val="000000"/>
          <w:sz w:val="20"/>
          <w:shd w:fill="FFFFFF" w:val="clear"/>
        </w:rPr>
        <w:t>$250 million under certain conditions subject to lender approval. The Credit Facility matures in September 2030. The revolving line of credit bears interest at a variable base rate plus an applicable margin ranging from 0.50% to 2.00%. We are required to pay commitment fees on the unused portion that range from 0.20% to 0.25% per annum. Our obligations under the Credit Facility are guaranteed by certain of our subsidiaries and are secured by a first priority lien on substantially all of our tangible and intangible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maintain compliance as of the end of each calendar quarter with the following financial covenants: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consolidated fixed charge coverage ratio on a trailing 12-month basis of no less than 1.25 to 1.00;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consolidated net leverage ratio on a trailing 12-month basis not greater than 4.00 to 1.00.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no outstanding borrowings under the Credit Facility and we had a $150 million borrowing capacity under the Credit Facility. As of December 31, 2025, we were in compliance with the related financial covenants under the Credit Facility. For additional information, see Note 8—Credit Facilities, in the Notes to the consolidated financial statements, included in Part II, Item 8, Financial Statements and Supplementary Data, in this Annual Report on Form 10-K.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contractual obligations and other commitments that will need to be funded in the future, in addition to our working capital, capital expenditures and other strategic initiatives. Material contractual obligations relate to operating lease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relate to corporate offices and warehouses under non-cancelable operating leases, which expire at various dates through 2037. As of December 31, 2025, operating lease obligations included minimum lease payments of $38.5 million. For additional information related to real estate and operating leases, see Note 7—Operating Leases, in the Notes to the consolidated financial statements, included in Part II, Item 8, Financial Statements and Supplementary Data,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U.S. GAAP. The preparation of our consolidated financial statements and related disclosures requires us to make estimates, assumptions and judgments that affect the reported amounts of assets, liabilities, revenue, costs and expenses and related disclosures. We believe that the estimates, assumptions and judgments involved in the accounting policies described below involve a significant level of estimation uncertainty and have the greatest potential impact on our financial condition and results of operations and, therefore, we consider these to be our critical accounting policies. Accordingly, we evaluate our estimates, assumptions and judgments on an ongoing basis. Our actual results may differ from these estimates under different assumptions, judgments and conditions. See Note 2—Summary of Significant Accounting Policies, in the Notes to the consolidated financial statements, included in Part II, Item 8, Financial Statements and Supplementary Data, in this Annual Report on Form 10-K for a description of our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revenue on a gross basis for consumer product sales generated through domestic and international ecommerce marketplaces. Determining whether to recognize revenue on a gross or net basis requires judgment in evaluating whether we are the principal or agent in contracts with both our customers and brand partners. We have concluded that in the vast majority of our contracts, we are the principal in the transaction and control the product before it is transferred to the customer. We control products when we are responsible for fulfilling the promise to the customer and take responsibility for the acceptability of the goods, assume inventory risk and have discretion in establishing prices on ecommerce marketplaces. We recognize revenue when control of the product passes to the customer, typically at the time of shipment. Revenues are presented net of customer returns.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Inventory Reserve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inventories represent finished good products that are available for sale. Inventory is accounted for using the average cost method and is stated at the lower of cost or net realizable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periodically evaluate the composition of our inventory and recognize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 compensation expense in connection with all stock-based awards based on the grant date fair value of the awards. Our stock-based awards granted prior to our IPO generally have both a service-based and performance-based vesting condition with expense recognized using the accelerated method. No stock-based compensation expense was recognized for these awards prior to our IPO as the performance condition was determined as not probable of being met. Our stock-based awards granted following our IPO generally have only a service-based vesting condition with expense recognized ratably over the service period. We have elected to account for forfeitures of awards as they occur. See Note 12—Stock-Based Compensation, in the Notes to the consolidated financial statements, included in Part II, Item 8, Financial Statements and Supplementary Data, in this Annual Report on Form 10-K.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of deferred income taxes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or other government entities, as well as actual operating results that may vary significantly from anticipated results. For additional information on deferred tax assets and liabilities, see Note 13—Provision for Income Taxes, in the Notes to the consolidated financial statements, included in Part II, Item 8, Financial Statements and Supplementary Data,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recent accounting pronouncements is included in Note 2—Summary of Significant Accounting Policies, in the Notes to the consolidated financial statements, included in Part II, Item 8, Financial Statements and Supplementary Data,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both within the United States and internationally, and we are exposed to market risks in the ordinary course of our business, including the effects of foreign currency fluctuations, interest rate changes and inflation. Information relating to quantitative and qualitative disclosures about these market risks is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majority of our sales are denominated in the prevailing currencies of the countries in which we operate. Additionally, our operating expenses are largely denominated in the currencies of the countries in which our operations are located or in which revenue is generated. Therefore, our operations are not currently subject to significant foreign currency risk on a regional basis. However, as our international business has grown, fluctuations in foreign currency exchange rates have started to have a greater impact, and as a result, we face exposure to adverse movements in foreign currency exchange rates, as the financial results of our international operations are translated from local currency, or functional currency, into U.S. dollars upon consolidation. Fluctuations in foreign currency exchange rates may cause us to recognize transaction gains and losses in our consolidated statements of operations. To date, foreign currency transaction gains and losses have not been material to our financial statements, and we have not engaged in any foreign currency hedging transactions, but we may do so in the future. The effect of foreign currency exchange on our business historically has varied from quarter to quarter and may continue to do so, potentially materially. In addition, global economic conditions may result in changes in exchange rates, and in particular a weakening of foreign currencies relative to the U.S. dollar may negatively affect our revenue as expressed in U.S. dollars.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equivalents consist primarily of money market accounts and have an original maturity date of 90 days or less. The fair value of our cash and cash equivalents would not be significantly affected by either an increase or decrease in interest rates due mainly to the short-term nature of these instruments. Any future borrowings incurred under our revolving credit facility will accrue interest at a floating rate based on a formula tied to certain market rates at the time of incurrence. A 10% increase or decrease in interest rates would not have a material effect on our interest income or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impact of inflation in order to minimize its effects through pricing strategies, productivity improvements and cost reductions. If our costs were to be subject to more significant inflationary pressures, we are generally able to offset such higher costs through price increases or other cost efficiency measures.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8235" w:type="dxa"/>
        <w:jc w:val="left"/>
        <w:tblInd w:w="0" w:type="dxa"/>
        <w:tblLayout w:type="fixed"/>
        <w:tblCellMar>
          <w:top w:w="28" w:type="dxa"/>
          <w:left w:w="28" w:type="dxa"/>
          <w:bottom w:w="28" w:type="dxa"/>
          <w:right w:w="28" w:type="dxa"/>
        </w:tblCellMar>
      </w:tblPr>
      <w:tblGrid>
        <w:gridCol w:w="2796"/>
        <w:gridCol w:w="2457"/>
        <w:gridCol w:w="2471"/>
        <w:gridCol w:w="149"/>
        <w:gridCol w:w="149"/>
        <w:gridCol w:w="213"/>
      </w:tblGrid>
      <w:tr>
        <w:trPr/>
        <w:tc>
          <w:tcPr>
            <w:tcW w:w="2796"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725">
              <w:r>
                <w:rPr>
                  <w:rStyle w:val="InternetLink"/>
                  <w:rFonts w:ascii="Times New Roman;serif" w:hAnsi="Times New Roman;serif"/>
                  <w:b w:val="false"/>
                  <w:color w:val="000080"/>
                  <w:sz w:val="20"/>
                  <w:u w:val="single"/>
                </w:rPr>
                <w:t>Report of Independent Registered Public Accounting Fir</w:t>
              </w:r>
            </w:hyperlink>
            <w:hyperlink w:anchor="i5fcce30a0c014b699b6ea540c13ef329_725">
              <w:r>
                <w:rPr>
                  <w:rStyle w:val="InternetLink"/>
                  <w:rFonts w:ascii="Times New Roman;serif" w:hAnsi="Times New Roman;serif"/>
                  <w:b w:val="false"/>
                  <w:color w:val="000080"/>
                  <w:sz w:val="20"/>
                  <w:u w:val="single"/>
                </w:rPr>
                <w:t>m</w:t>
              </w:r>
            </w:hyperlink>
            <w:r>
              <w:rPr>
                <w:color w:val="000000"/>
              </w:rPr>
              <w:t xml:space="preserve"> </w:t>
            </w:r>
            <w:r>
              <w:rPr>
                <w:rFonts w:ascii="Times New Roman;serif" w:hAnsi="Times New Roman;serif"/>
                <w:b w:val="false"/>
                <w:color w:val="000000"/>
                <w:sz w:val="20"/>
              </w:rPr>
              <w:t>(PCAOB ID: 34)</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5fcce30a0c014b699b6ea540c13ef329_725">
              <w:r>
                <w:rPr>
                  <w:rStyle w:val="InternetLink"/>
                  <w:rFonts w:ascii="Times New Roman;serif" w:hAnsi="Times New Roman;serif"/>
                  <w:b w:val="false"/>
                  <w:color w:val="0000FF"/>
                  <w:sz w:val="20"/>
                  <w:u w:val="single"/>
                </w:rPr>
                <w:t>64</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9">
              <w:r>
                <w:rPr>
                  <w:rStyle w:val="InternetLink"/>
                  <w:rFonts w:ascii="Times New Roman;serif" w:hAnsi="Times New Roman;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19">
              <w:r>
                <w:rPr>
                  <w:rStyle w:val="InternetLink"/>
                  <w:rFonts w:ascii="Times New Roman;serif" w:hAnsi="Times New Roman;serif"/>
                  <w:b w:val="false"/>
                  <w:color w:val="0000FF"/>
                  <w:sz w:val="20"/>
                  <w:u w:val="single"/>
                </w:rPr>
                <w:t>66</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22">
              <w:r>
                <w:rPr>
                  <w:rStyle w:val="InternetLink"/>
                  <w:rFonts w:ascii="Times New Roman;serif" w:hAnsi="Times New Roman;serif"/>
                  <w:b w:val="false"/>
                  <w:color w:val="0000FF"/>
                  <w:sz w:val="20"/>
                  <w:u w:val="single"/>
                </w:rPr>
                <w:t>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22">
              <w:r>
                <w:rPr>
                  <w:rStyle w:val="InternetLink"/>
                  <w:rFonts w:ascii="Times New Roman;serif" w:hAnsi="Times New Roman;serif"/>
                  <w:b w:val="false"/>
                  <w:color w:val="0000FF"/>
                  <w:sz w:val="20"/>
                  <w:u w:val="single"/>
                </w:rPr>
                <w:t>67</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25">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25">
              <w:r>
                <w:rPr>
                  <w:rStyle w:val="InternetLink"/>
                  <w:rFonts w:ascii="Times New Roman;serif" w:hAnsi="Times New Roman;serif"/>
                  <w:b w:val="false"/>
                  <w:color w:val="0000FF"/>
                  <w:sz w:val="20"/>
                  <w:u w:val="single"/>
                </w:rPr>
                <w:t>68</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28">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28">
              <w:r>
                <w:rPr>
                  <w:rStyle w:val="InternetLink"/>
                  <w:rFonts w:ascii="Times New Roman;serif" w:hAnsi="Times New Roman;serif"/>
                  <w:b w:val="false"/>
                  <w:color w:val="0000FF"/>
                  <w:sz w:val="20"/>
                  <w:u w:val="single"/>
                </w:rPr>
                <w:t>70</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31">
              <w:r>
                <w:rPr>
                  <w:rStyle w:val="InternetLink"/>
                  <w:rFonts w:ascii="Times New Roman;serif" w:hAnsi="Times New Roman;serif"/>
                  <w:b w:val="false"/>
                  <w:color w:val="0000FF"/>
                  <w:sz w:val="20"/>
                  <w:u w:val="single"/>
                </w:rPr>
                <w:t>Consolidated Statements of Changes in Convertible Preferred Stock and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31">
              <w:r>
                <w:rPr>
                  <w:rStyle w:val="InternetLink"/>
                  <w:rFonts w:ascii="Times New Roman;serif" w:hAnsi="Times New Roman;serif"/>
                  <w:b w:val="false"/>
                  <w:color w:val="0000FF"/>
                  <w:sz w:val="20"/>
                  <w:u w:val="single"/>
                </w:rPr>
                <w:t>71</w:t>
              </w:r>
            </w:hyperlink>
          </w:p>
        </w:tc>
      </w:tr>
      <w:tr>
        <w:trPr/>
        <w:tc>
          <w:tcPr>
            <w:tcW w:w="7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34">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cce30a0c014b699b6ea540c13ef329_34">
              <w:r>
                <w:rPr>
                  <w:rStyle w:val="InternetLink"/>
                  <w:rFonts w:ascii="Times New Roman;serif" w:hAnsi="Times New Roman;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Pattern Group Inc.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Pattern Group Inc. and subsidiaries (the “Company”) as of December 31, 2025 and 2024, the related consolidated statements of operations, comprehensive income, cash flows, and changes in convertible preferred stock and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Inventories – Inventory Reserve — Refer to Note 2 to the Financial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Inventories represent finished good products that are available for sale. Inventory is accounted for using the average cost method and is stated at the lower of cost or net realizable value. The Company periodically evaluates the composition of inventory and recognizes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identified the inventory reserve as a critical audit matter due to the challenging, subjective, and complex judgments required by management related to estimating the current and anticipated demand based on historical sales, buying trends and method of disposal necessary in determining the inventory reserve. This required a higher degree of auditor judgment and an increased extent of audit effort.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addressed the inventory reserve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performed procedures to evaluate the reasonableness of management’s methods, assumptions, and judgments used in developing their estimate of the valuation of the inventory reserve, through consideration of historical sales trends including evaluation of information obtained from supply chain employees and appropriateness of whether to increase/decrease the reserve based on estimated disposal method.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tested the accuracy and completeness of the underlying data used in the Company’s calculations of the inventory reserve, including historical sales, quantities on hand, and cost.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evaluated management’s ability to accurately estimate the valuation of the inventory reserve by comparing actual results with reserves from previous years.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tested the mathematical accuracy of the Company’s calculations of reserved inventories.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Salt Lake City, Utah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expect per share data) </w:t>
      </w:r>
    </w:p>
    <w:tbl>
      <w:tblPr>
        <w:tblW w:w="10205" w:type="dxa"/>
        <w:jc w:val="left"/>
        <w:tblInd w:w="0" w:type="dxa"/>
        <w:tblLayout w:type="fixed"/>
        <w:tblCellMar>
          <w:top w:w="28" w:type="dxa"/>
          <w:left w:w="28" w:type="dxa"/>
          <w:bottom w:w="28" w:type="dxa"/>
          <w:right w:w="28" w:type="dxa"/>
        </w:tblCellMar>
      </w:tblPr>
      <w:tblGrid>
        <w:gridCol w:w="1959"/>
        <w:gridCol w:w="1607"/>
        <w:gridCol w:w="1614"/>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95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2,475,909 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amendment expense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attributable to common stockholders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172,853 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 attributable to common stockholders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ind w:left="0" w:right="0" w:firstLine="360"/>
        <w:jc w:val="left"/>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18" w:type="dxa"/>
        <w:jc w:val="left"/>
        <w:tblInd w:w="0" w:type="dxa"/>
        <w:tblLayout w:type="fixed"/>
        <w:tblCellMar>
          <w:top w:w="28" w:type="dxa"/>
          <w:left w:w="28" w:type="dxa"/>
          <w:bottom w:w="28" w:type="dxa"/>
          <w:right w:w="28" w:type="dxa"/>
        </w:tblCellMar>
      </w:tblPr>
      <w:tblGrid>
        <w:gridCol w:w="1433"/>
        <w:gridCol w:w="1258"/>
        <w:gridCol w:w="126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58"/>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expect per share data) </w:t>
      </w:r>
    </w:p>
    <w:tbl>
      <w:tblPr>
        <w:tblW w:w="10205" w:type="dxa"/>
        <w:jc w:val="left"/>
        <w:tblInd w:w="0" w:type="dxa"/>
        <w:tblLayout w:type="fixed"/>
        <w:tblCellMar>
          <w:top w:w="28" w:type="dxa"/>
          <w:left w:w="28" w:type="dxa"/>
          <w:bottom w:w="28" w:type="dxa"/>
          <w:right w:w="28" w:type="dxa"/>
        </w:tblCellMar>
      </w:tblPr>
      <w:tblGrid>
        <w:gridCol w:w="2217"/>
        <w:gridCol w:w="1918"/>
        <w:gridCol w:w="1931"/>
        <w:gridCol w:w="211"/>
        <w:gridCol w:w="826"/>
        <w:gridCol w:w="109"/>
        <w:gridCol w:w="109"/>
        <w:gridCol w:w="109"/>
        <w:gridCol w:w="109"/>
        <w:gridCol w:w="211"/>
        <w:gridCol w:w="826"/>
        <w:gridCol w:w="109"/>
        <w:gridCol w:w="109"/>
        <w:gridCol w:w="109"/>
        <w:gridCol w:w="109"/>
        <w:gridCol w:w="211"/>
        <w:gridCol w:w="826"/>
        <w:gridCol w:w="156"/>
      </w:tblGrid>
      <w:tr>
        <w:trPr/>
        <w:tc>
          <w:tcPr>
            <w:tcW w:w="221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bookmarkStart w:id="8" w:name="ida8ef58e34b14b4486f279d1a5c8ff30_21-3-1"/>
            <w:bookmarkEnd w:id="8"/>
            <w:r>
              <w:rPr>
                <w:rFonts w:ascii="Times New Roman;serif" w:hAnsi="Times New Roman;serif"/>
                <w:b w:val="false"/>
                <w:color w:val="000000"/>
                <w:sz w:val="20"/>
              </w:rPr>
              <w:t>(3,330)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upon vesting of restricted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expect per share data) </w:t>
      </w:r>
    </w:p>
    <w:tbl>
      <w:tblPr>
        <w:tblW w:w="10205" w:type="dxa"/>
        <w:jc w:val="left"/>
        <w:tblInd w:w="0" w:type="dxa"/>
        <w:tblLayout w:type="fixed"/>
        <w:tblCellMar>
          <w:top w:w="28" w:type="dxa"/>
          <w:left w:w="28" w:type="dxa"/>
          <w:bottom w:w="28" w:type="dxa"/>
          <w:right w:w="28" w:type="dxa"/>
        </w:tblCellMar>
      </w:tblPr>
      <w:tblGrid>
        <w:gridCol w:w="2273"/>
        <w:gridCol w:w="1997"/>
        <w:gridCol w:w="2007"/>
        <w:gridCol w:w="211"/>
        <w:gridCol w:w="721"/>
        <w:gridCol w:w="109"/>
        <w:gridCol w:w="109"/>
        <w:gridCol w:w="109"/>
        <w:gridCol w:w="109"/>
        <w:gridCol w:w="211"/>
        <w:gridCol w:w="721"/>
        <w:gridCol w:w="109"/>
        <w:gridCol w:w="109"/>
        <w:gridCol w:w="109"/>
        <w:gridCol w:w="109"/>
        <w:gridCol w:w="211"/>
        <w:gridCol w:w="826"/>
        <w:gridCol w:w="155"/>
      </w:tblGrid>
      <w:tr>
        <w:trPr/>
        <w:tc>
          <w:tcPr>
            <w:tcW w:w="227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 of non-cash financing activities: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common stock issued upon conversion of 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common stock issued upon redemption of Series B Preferred Stock, net of cumulative undeclared dividends previously reported and deemed dividend recognized in additional paid-in capital (Note 10)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 for Series B Preferred Stock recognized in retained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expect per share data) </w:t>
      </w:r>
    </w:p>
    <w:tbl>
      <w:tblPr>
        <w:tblW w:w="10205" w:type="dxa"/>
        <w:jc w:val="left"/>
        <w:tblInd w:w="0" w:type="dxa"/>
        <w:tblLayout w:type="fixed"/>
        <w:tblCellMar>
          <w:top w:w="28" w:type="dxa"/>
          <w:left w:w="28" w:type="dxa"/>
          <w:bottom w:w="28" w:type="dxa"/>
          <w:right w:w="28" w:type="dxa"/>
        </w:tblCellMar>
      </w:tblPr>
      <w:tblGrid>
        <w:gridCol w:w="2875"/>
        <w:gridCol w:w="2347"/>
        <w:gridCol w:w="2318"/>
        <w:gridCol w:w="211"/>
        <w:gridCol w:w="826"/>
        <w:gridCol w:w="109"/>
        <w:gridCol w:w="109"/>
        <w:gridCol w:w="109"/>
        <w:gridCol w:w="109"/>
        <w:gridCol w:w="211"/>
        <w:gridCol w:w="826"/>
        <w:gridCol w:w="155"/>
      </w:tblGrid>
      <w:tr>
        <w:trPr/>
        <w:tc>
          <w:tcPr>
            <w:tcW w:w="2875"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Convertible Preferred Stock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$0.001 par value: 28,972 and no shares authorized; 28,966 and no shares issued and outstanding, respectively; refer to Note 10 for aggregate liquidation preference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Common stock, $0.001 par value: no and 2,200,000 shares authorized, respectively; no and 154,691 shares issued and outstanding,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B Common stock, $0.001 par value: no and 100,000 shares authorized, respectively; no and 21,703 shares issued and outstanding,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140,287 and no shares authorized, respectively; 3,799 and no shares issued and outstanding,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88,869 and 200,000 shares authorized; 86,792 and no shares issued and outstanding,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convertible preferred stock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947,639 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Pattern Group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Convertible Preferred Stock and Stockholders’ Equity</w:t>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expect per share data)</w:t>
      </w:r>
    </w:p>
    <w:tbl>
      <w:tblPr>
        <w:tblW w:w="13740" w:type="dxa"/>
        <w:jc w:val="left"/>
        <w:tblInd w:w="0" w:type="dxa"/>
        <w:tblLayout w:type="fixed"/>
        <w:tblCellMar>
          <w:top w:w="28" w:type="dxa"/>
          <w:left w:w="28" w:type="dxa"/>
          <w:bottom w:w="28" w:type="dxa"/>
          <w:right w:w="28" w:type="dxa"/>
        </w:tblCellMar>
      </w:tblPr>
      <w:tblGrid>
        <w:gridCol w:w="603"/>
        <w:gridCol w:w="201"/>
        <w:gridCol w:w="202"/>
        <w:gridCol w:w="256"/>
        <w:gridCol w:w="150"/>
        <w:gridCol w:w="151"/>
        <w:gridCol w:w="109"/>
        <w:gridCol w:w="109"/>
        <w:gridCol w:w="109"/>
        <w:gridCol w:w="181"/>
        <w:gridCol w:w="616"/>
        <w:gridCol w:w="109"/>
        <w:gridCol w:w="109"/>
        <w:gridCol w:w="109"/>
        <w:gridCol w:w="109"/>
        <w:gridCol w:w="109"/>
        <w:gridCol w:w="109"/>
        <w:gridCol w:w="109"/>
        <w:gridCol w:w="264"/>
        <w:gridCol w:w="171"/>
        <w:gridCol w:w="151"/>
        <w:gridCol w:w="109"/>
        <w:gridCol w:w="109"/>
        <w:gridCol w:w="109"/>
        <w:gridCol w:w="181"/>
        <w:gridCol w:w="361"/>
        <w:gridCol w:w="109"/>
        <w:gridCol w:w="109"/>
        <w:gridCol w:w="109"/>
        <w:gridCol w:w="109"/>
        <w:gridCol w:w="256"/>
        <w:gridCol w:w="150"/>
        <w:gridCol w:w="151"/>
        <w:gridCol w:w="109"/>
        <w:gridCol w:w="109"/>
        <w:gridCol w:w="109"/>
        <w:gridCol w:w="181"/>
        <w:gridCol w:w="406"/>
        <w:gridCol w:w="109"/>
        <w:gridCol w:w="109"/>
        <w:gridCol w:w="109"/>
        <w:gridCol w:w="109"/>
        <w:gridCol w:w="256"/>
        <w:gridCol w:w="150"/>
        <w:gridCol w:w="151"/>
        <w:gridCol w:w="109"/>
        <w:gridCol w:w="109"/>
        <w:gridCol w:w="109"/>
        <w:gridCol w:w="181"/>
        <w:gridCol w:w="406"/>
        <w:gridCol w:w="109"/>
        <w:gridCol w:w="109"/>
        <w:gridCol w:w="109"/>
        <w:gridCol w:w="109"/>
        <w:gridCol w:w="181"/>
        <w:gridCol w:w="616"/>
        <w:gridCol w:w="109"/>
        <w:gridCol w:w="109"/>
        <w:gridCol w:w="109"/>
        <w:gridCol w:w="109"/>
        <w:gridCol w:w="215"/>
        <w:gridCol w:w="571"/>
        <w:gridCol w:w="130"/>
        <w:gridCol w:w="327"/>
        <w:gridCol w:w="181"/>
        <w:gridCol w:w="541"/>
        <w:gridCol w:w="109"/>
        <w:gridCol w:w="327"/>
        <w:gridCol w:w="18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Convertible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Series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2022</w:t>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(3,379)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settle contingently consideration</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912" w:type="dxa"/>
            <w:gridSpan w:val="24"/>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43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2023</w:t>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Converted preferred to common shares</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2734" w:type="dxa"/>
            <w:gridSpan w:val="72"/>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912" w:type="dxa"/>
            <w:gridSpan w:val="24"/>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43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2024</w:t>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270,601 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86,792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(985)</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106,855 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108,724 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upon vesting of RSUs</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upon vesting of RSUs</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Founder Preferred Stock Amendment</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A common stock issued upon conversion of Series A Preferred Stock</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A common stock issued upon redemption of Series B Preferred Stock</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A common stock issued upon reclassification of Founder Non-Voting Preferred Stock</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common stock issued upon reclassification of Founder Voting Preferred Stock</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net of underwriters' discounts and offering expenses</w:t>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December 31, 2025</w:t>
            </w:r>
          </w:p>
        </w:tc>
        <w:tc>
          <w:tcPr>
            <w:tcW w:w="5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580,995 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Pattern Group Inc. and Subsidiaries</w:t>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 Organization and Description of Business</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Pattern Inc. was incorporated in Utah in January 2013. Pattern Group Inc. (“Pattern” or the “Company”) was incorporated in Utah in January 2019, and subsequently converted to a Delaware corporation in May 2020. Following the Company’s incorporation, the stockholders of Pattern Inc. contributed all shares of Pattern Inc. to the Company in exchange for shares in the Company, and Pattern Inc. continued as a wholly-owned subsidiary of the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Pattern, an ecommerce accelerator, uses its technology platform, data science and a team of global experts to drive growth for brands. The Company acquires inventory from brand partners to sell to consumers, enabling full control over content, pricing, logistics and customer service. Brand partners that contract with the Company operate in various industries, including health and wellness, beauty and personal care, home and lifestyle, pet, sports and outdoors and consumer electronics.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Completion of Initial Public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completed its initial public offering (“IPO”) of shares of Series A common stock. Immediately prior to the completion of the IPO, all the Company’s then-outstanding shares of Series A Preferred Stock and Series B Preferred Stock were converted and reclassified into shares of Series A common stock (see Note 10—Convertible Preferred Stock for more information). In addition, all the Company’s then-outstanding shares of Founder Voting Preferred Stock and Founder Non-Voting Preferred Stock were reclassified and converted into shares of Series A common stock and Series B common stock, as applicable (see Note 11—Stockholders’ Equity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generally accepted accounting principles in the United States (“GAAP”) and include the accounts of the Company and its subsidiaries. All intercompany accounts and transactions have been eliminated.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management to make estimates and assumptions in the Company’s consolidated financial statements and accompanying notes. On an ongoing basis, management evaluates these estimates and judgments.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Estimates are used for, but not limited to, determining the net realizable value and demand for inventory, allowance for sales returns, allowance for doubtful accounts, valuation allowances with respect to deferred tax assets, fair value of reporting units used in evaluation of goodwill impairment, the fair value of assets acquired and liabilities assumed in business combinations, the valuation of stock-based awards, the fair value of common stock and the incremental borrowing rate (“IBR”) used to measure operating lease liabilities. The Company bases these estimates on historical and anticipated results, trends and various other assumptions that it believes are reasonable under the circumstances, including assumptions as to future events. Actual results could differ from these estimates and any such differences may be material to the Company’s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primarily from product sales through domestic and international online marketplaces. Revenue is recognized on a gross basis as the Company is (i) the entity primarily responsible for fulfilling the promise to provide the specified products in the arrangement with the customer, (ii) has inventory risk before the products have been transferred to a customer and (iii) has discretion in establishing the price for the products sold on the online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principal versus agent considerations to determine whether it is appropriate to record seller fees paid by the Company to the marketplaces as an expense or as a reduction of revenue. Seller fees charged by third-party marketplaces are not recorded as a reduction of revenue as the Company owns and controls all goods before they are transferred to the end customer. The Company is responsible for ensuring the goods promised to the end consumer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delivered. The Company establishes the price of its products, determines who fulfills the goods to the customer (third-party online marketplaces or the Company) and can limit quantities or stop selling the goods at any time. Revenues are presented net of customer returns. Based on these considerations, the Company is the principal in these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contract is created at the time the order is placed by the customer, which creates a single performance obligation to deliver the product to the customer. Revenue is measured as the amount of consideration the Company expects to receive in exchange for transferring the product and is recognized at the time control of the product passes to the customer, which is at the time of shipment. Taxes collected from customers for remittance to governmental bodies are excluded from 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source of revenue:</w:t>
      </w:r>
    </w:p>
    <w:tbl>
      <w:tblPr>
        <w:tblW w:w="8382" w:type="dxa"/>
        <w:jc w:val="left"/>
        <w:tblInd w:w="0" w:type="dxa"/>
        <w:tblLayout w:type="fixed"/>
        <w:tblCellMar>
          <w:top w:w="28" w:type="dxa"/>
          <w:left w:w="28" w:type="dxa"/>
          <w:bottom w:w="28" w:type="dxa"/>
          <w:right w:w="28" w:type="dxa"/>
        </w:tblCellMar>
      </w:tblPr>
      <w:tblGrid>
        <w:gridCol w:w="1212"/>
        <w:gridCol w:w="1067"/>
        <w:gridCol w:w="1080"/>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bookmarkStart w:id="9" w:name="i12c8cad7c5674474bf7843f65f05c55d_0-1-1-"/>
            <w:bookmarkEnd w:id="9"/>
            <w:r>
              <w:rPr>
                <w:rFonts w:ascii="Times New Roman;serif" w:hAnsi="Times New Roman;serif"/>
                <w:b/>
                <w:color w:val="000000"/>
                <w:sz w:val="16"/>
              </w:rPr>
              <w:t>Year Ended December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Amazon.com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2,147,186 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Amazon marketplaces, 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online marketplaces and channels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SaaS, logistics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w:t>
      </w:r>
    </w:p>
    <w:tbl>
      <w:tblPr>
        <w:tblW w:w="6194" w:type="dxa"/>
        <w:jc w:val="left"/>
        <w:tblInd w:w="0" w:type="dxa"/>
        <w:tblLayout w:type="fixed"/>
        <w:tblCellMar>
          <w:top w:w="28" w:type="dxa"/>
          <w:left w:w="28" w:type="dxa"/>
          <w:bottom w:w="28" w:type="dxa"/>
          <w:right w:w="28" w:type="dxa"/>
        </w:tblCellMar>
      </w:tblPr>
      <w:tblGrid>
        <w:gridCol w:w="423"/>
        <w:gridCol w:w="373"/>
        <w:gridCol w:w="375"/>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updated its methodology for determining the geographic classification of revenue to better align with the country the marketplace is domiciled and how management evaluates regional performance. As a result, the Company has recast the prior period revenue by geographic region to conform to the current period presentation. This change affected only the allocation of revenue between geographic regions and did not impact total consolidated revenues, operating results, or cash flows for any period presented.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 was the only individual country accounting for more than 10% of total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Return Allowances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generally accepts returns related to sales in accordance with the various online marketplaces’ return policy. At the time of sale, a reserve is established for returns, based on historical experience and expected future returns, which is recorded as a reduction of sales and cost of goods sold. The following table summarizes the additions and deductions to the Company’s sales return allowance:</w:t>
      </w:r>
    </w:p>
    <w:tbl>
      <w:tblPr>
        <w:tblW w:w="4734" w:type="dxa"/>
        <w:jc w:val="left"/>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to sales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returns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includes within inventory an asset, totaling $1.6 million and $1.0 million as of December 31, 2024 and 2025, respectively, associated with the right to recover product from customers related to the Company’s liabilities for return allowances.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primarily consists of the purchase price of inventory sold to customers. Shipping costs to receive products from the Company’s brand partners and costs to ship products to third-party fulfillment centers are included in the Company’s inventory and recognized as cost of goods sold upon sale of the products to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Operations,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Operations, general and administrative expenses consist of third-party fulfillment costs; payroll and related expenses; warehousing costs; facilities and equipment, including depreciation and amortization, rent and other occupancy expenses; professional and legal fees; as well as costs associated with other general costs for corporate functions, including accounting, finance and human resources.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Fulfillment costs represent those costs incurred from third-party fulfillment centers and in operating and staffing the Company’s fulfillment centers, including costs related to buying, receiving, inspecting and warehousing inventories, picking, packaging and preparing customer orders for shipment. Fulfillment costs are included within operations, general and administrative in the consolidated statements of operations and were $217.0 million, $272.3 million and $374.3 million for the years ended December 31, 2023, 2024 and 2025,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of third-party online marketplace commission fees, targeted online advertising and other marketing expenses, payroll and related expenses for personnel engaged in marketing and selling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and other marketing expenses were $16.4 million, $20.9 million and $37.2 million for the years ended December 31, 2023, 2024 and 2025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Brand Partner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agreements with brand partners that provide reimbursement for certain advertising, cooperative marketing efforts and promotions. The Company generally accounts for such consideration from brand partners as a reduction of the related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include payroll and related expenses for employees involved in the research and development of Pattern’s technology, development and design of Company websites and curation and display of products available on third-party marketplaces.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compensation expense for all equity-classified stock-based awards, including restricted stock units (“RSUs”) and those issued under the Company’s employee stock purchase plan (“ESPP”), based on the grant date fair value of the awards. The Company’s RSUs granted prior to the Company’s IPO generally have both a service-based and performance-based vesting condition with expense recognized using the accelerated method. No stock-based compensation expense was recognized for these awards prior to the Company’s IPO as the performance condition was determined as not probable of being met. The Company’s RSUs granted following the Company’s IPO generally have only a service-based vesting condition with expense recognized ratably over the service period. Additionally, we have stock-based compensation awards that are expected to settle in cash. These liability-classified awards are remeasured to fair value at the end of each reporting period until settlement or expiration. The Company has elected to account for forfeitures of awards as they occur. See Note 12—Stock-Based Compensation for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ESPP purchase rights is estimated on the grant date using the Black-Scholes option pricing model. The determination of fair value incorporates the Company’s stock price and assumptions regarding expected stock price volatility, expected term, risk-free interest rate and expected dividends, which requires the use of judgment. The Company recognizes compensation expense related to the ESPP on a straight-line basis over the offering period, which is the requisite service period. See Note 12—Stock-Based Compensation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(“EPS”) are calculated using the Company’s weighted-average shares outstanding of common stock, Founder Voting Preferred Stock, Founder Non-Voting Preferred Stock, Series A common stock and Series B common stock. The Founder Voting and Founder Non-Voting Preferred Stock are considered to be common stock equivalents for purposes of calculating EPS as they share equally with common stock in the liquidation of the Company’s net assets and do not contain an economic preference. The rights, including the liquidation and dividend rights, of the holders of Series A and Series B common stock are identical, except with respect to voting, conversion and transfer rights. As the liquidation and dividend rights are identical, the undistributed earnings are allocated on a proportionate basis to each class of common stock and the resulting basic and diluted net income (loss) per share attributable to common stockholders are the same for both Series A and Series B common stock on both an individual and combined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dilutive effect of Series A Preferred Stock is reflected in diluted earnings per share by application of the more dilutive of the two-class method and if-converted method (two-class method only applies for periods of net income). The dilutive effect of Series B Preferred Stock is reflected in diluted earnings per share under the if-converted method, if dilutive. The if-converted method is calculated by assuming conversion at the beginning of the period or date of issuance, if later; and therefore, no dividend preference would accrue to the Series B Preferred Stock. Restricted stock units (“RSUs”) subject to conditions other than service conditions are considered contingently issuable shares and are included in the computation of dilutive shares only to the extent that the underlying performance condition is satisfied prior to the end of the reporting period or would be considered satisfied if the end of the reporting period were the end of the related contingency period and the results would be dilutive under the treasury stock method (see Note 12—Stock-Based Compensation for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earnings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2311"/>
        <w:gridCol w:w="1738"/>
        <w:gridCol w:w="1744"/>
        <w:gridCol w:w="109"/>
        <w:gridCol w:w="109"/>
        <w:gridCol w:w="109"/>
        <w:gridCol w:w="109"/>
        <w:gridCol w:w="211"/>
        <w:gridCol w:w="721"/>
        <w:gridCol w:w="109"/>
        <w:gridCol w:w="109"/>
        <w:gridCol w:w="109"/>
        <w:gridCol w:w="109"/>
        <w:gridCol w:w="211"/>
        <w:gridCol w:w="721"/>
        <w:gridCol w:w="109"/>
        <w:gridCol w:w="109"/>
        <w:gridCol w:w="109"/>
        <w:gridCol w:w="109"/>
        <w:gridCol w:w="211"/>
        <w:gridCol w:w="873"/>
        <w:gridCol w:w="156"/>
      </w:tblGrid>
      <w:tr>
        <w:trPr/>
        <w:tc>
          <w:tcPr>
            <w:tcW w:w="231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67" w:type="dxa"/>
            <w:gridSpan w:val="6"/>
            <w:tcBorders/>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allocable to participating Series A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 dividend - undeclared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cumulative Series B Preferred Stock undeclared dividends upon redemption of 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 for redemption of 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instruments outstanding (prior to consideration of the treasury stock or if-converted methods) as of period end were not reflected in diluted EPS as their effect for the periods presented would be anti-dilutive or the instruments were not exercisable for potential common shares for the periods presented:</w:t>
      </w:r>
    </w:p>
    <w:tbl>
      <w:tblPr>
        <w:tblW w:w="6182" w:type="dxa"/>
        <w:jc w:val="left"/>
        <w:tblInd w:w="0" w:type="dxa"/>
        <w:tblLayout w:type="fixed"/>
        <w:tblCellMar>
          <w:top w:w="28" w:type="dxa"/>
          <w:left w:w="28" w:type="dxa"/>
          <w:bottom w:w="28" w:type="dxa"/>
          <w:right w:w="28" w:type="dxa"/>
        </w:tblCellMar>
      </w:tblPr>
      <w:tblGrid>
        <w:gridCol w:w="759"/>
        <w:gridCol w:w="669"/>
        <w:gridCol w:w="671"/>
        <w:gridCol w:w="109"/>
        <w:gridCol w:w="109"/>
        <w:gridCol w:w="181"/>
        <w:gridCol w:w="181"/>
        <w:gridCol w:w="365"/>
        <w:gridCol w:w="356"/>
        <w:gridCol w:w="181"/>
        <w:gridCol w:w="181"/>
        <w:gridCol w:w="181"/>
        <w:gridCol w:w="181"/>
        <w:gridCol w:w="365"/>
        <w:gridCol w:w="356"/>
        <w:gridCol w:w="181"/>
        <w:gridCol w:w="109"/>
        <w:gridCol w:w="109"/>
        <w:gridCol w:w="109"/>
        <w:gridCol w:w="308"/>
        <w:gridCol w:w="308"/>
        <w:gridCol w:w="213"/>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B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an original maturity of 90 days or less to be cash equivalents. The Company’s cash equivalents are carried at cost, which approximates fair value and are classified as Level 1 in the fair value hierarchy because they are valued using quoted market prices. As of December 31, 2025, the Company did not have any restricted cash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are comprised of receivables from the various online marketplaces, brand partners and other receivables, including consulting clients and business-to-business sales. Accounts receivable are stated at the invoiced amount and are non-interest-bearing.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accounts receivable balance:</w:t>
      </w:r>
    </w:p>
    <w:tbl>
      <w:tblPr>
        <w:tblW w:w="5438" w:type="dxa"/>
        <w:jc w:val="left"/>
        <w:tblInd w:w="0" w:type="dxa"/>
        <w:tblLayout w:type="fixed"/>
        <w:tblCellMar>
          <w:top w:w="28" w:type="dxa"/>
          <w:left w:w="28" w:type="dxa"/>
          <w:bottom w:w="28" w:type="dxa"/>
          <w:right w:w="28" w:type="dxa"/>
        </w:tblCellMar>
      </w:tblPr>
      <w:tblGrid>
        <w:gridCol w:w="1001"/>
        <w:gridCol w:w="882"/>
        <w:gridCol w:w="891"/>
        <w:gridCol w:w="211"/>
        <w:gridCol w:w="826"/>
        <w:gridCol w:w="109"/>
        <w:gridCol w:w="109"/>
        <w:gridCol w:w="109"/>
        <w:gridCol w:w="109"/>
        <w:gridCol w:w="211"/>
        <w:gridCol w:w="82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Amazon.com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 partner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additions and deductions to the Company’s allowance for doubtful accounts:</w:t>
      </w:r>
    </w:p>
    <w:tbl>
      <w:tblPr>
        <w:tblW w:w="4734" w:type="dxa"/>
        <w:jc w:val="left"/>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represent finished good products that are available for sale. Inventory is accounted for using the average cost method and is stated at the lower of cost or net realizable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periodically evaluates the composition of its inventory and recognizes adjustments when the cost of inventory is not expected to be fully recoverable. The market value of inventory is estimated by considering current and anticipated demand based on historical sales, buying trends and the method of disposal for aged inventory, such as through sales to individual customers, returns to brand partners, liquidations and expected recoverable values of each disposition category.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inventory reserve to reduce the value of inventory by $7.9 million and $8.5 million was recorded within inventory on the consolidated balance sheets as of December 31, 2024 and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cash and cash equivalents and accounts receivable. The Company’s cash and cash equivalents are held at high credit quality financial institutions, which at times may exceed federally insured amounts.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primarily generates revenue from customers located in the U.S. and international markets who purchase the Company’s products on third-party online marketplaces. The Company regularly reviews the financial condition of the online marketplaces to ensure their ability to collect funds from customers and remit these funds to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has receivables from brand partners and other customers. The Company conducts ongoing evaluations of customers and brand partners financial conditions and may require advance payment to mitigate potential credit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customer accounted for greater than 10% of the Company’s accounts receivable or revenue as of and for the year ended December 31, 2024 and 2025. One online marketplace represented 51% and 48% of the Company’s accounts receivable as of December 31, 2024 and 2025, respectively. The same online marketplace accounted for 93%, 94% and 93% of the Company’s revenue for the years ended December 31, 2023, 2024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on brand partners for its inventories. A significant disruption in the operations of certain of these brand partners could impact the Company’s product sales for a substantial period of time, which may have a material adverse effect on the Company’s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Two brand partners accounted for 17% and 11% of inventory purchases for the year ended December 31, 2024 and 17% and 17% for the year ended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historical cost less accumulated depreciation and amortization. Repairs and maintenance costs that do not extend the useful life or improve the related asset are expensed as incurred. Depreciation and amortization are computed using the straight-line method over the estimated useful life of the asset or the remaining lease term, if shorter. The estimated useful lives of property and equipment are as follows:</w:t>
      </w:r>
    </w:p>
    <w:tbl>
      <w:tblPr>
        <w:tblW w:w="3343" w:type="dxa"/>
        <w:jc w:val="left"/>
        <w:tblInd w:w="0" w:type="dxa"/>
        <w:tblLayout w:type="fixed"/>
        <w:tblCellMar>
          <w:top w:w="28" w:type="dxa"/>
          <w:left w:w="28" w:type="dxa"/>
          <w:bottom w:w="28" w:type="dxa"/>
          <w:right w:w="28" w:type="dxa"/>
        </w:tblCellMar>
      </w:tblPr>
      <w:tblGrid>
        <w:gridCol w:w="821"/>
        <w:gridCol w:w="721"/>
        <w:gridCol w:w="722"/>
        <w:gridCol w:w="315"/>
        <w:gridCol w:w="315"/>
        <w:gridCol w:w="449"/>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4-10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 years</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Leasehold improvements are amortized over the shorter of the term of the related leases or estimated useful lives.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Leases arise from contractual obligations that convey the right to control the use of identified property, plant, or equipment for a period of time in exchange for consideration. The Company determines if an arrangement is, or contains, a lease at contract inception. The Company’s operating leases are included in operating lease right-of-use assets, current portion of operating lease liabilities and operating lease liabilities, non-current in the accompanying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operating lease liabilities are recognized at the lease commencement date based on the present value of lease payments over the applicable lease term discounted using the Company’s IBR. Operating lease right-of-use assets include any lease payments made or incentives provided by the lessor. As the leases do not provide an implicit rate, the IBR used is estimated based on what the Company would have to pay on a collateralized basis over a similar term as the lease. Lease payments include fixed payments and any variable payments based on an index or rate and are recognized as lease expense on a straight-line basis over the term of the lease.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Internal-Use Software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Internal-use software costs include costs to develop software to be used to meet internal needs. Development costs are capitalized for these software applications once the preliminary project stage is complete, it is probable that the project will be completed and the software will be used to perform the function intended. Capitalized internal-use software costs, net of accumulated amortization is included in property and equipment, net in the consolidated balance sheets and was $13.5 million and $15.8 million as of December 31, 2024 and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there are indicators of potential impairment, the Company evaluates recoverability of the carrying values of property and equipment and right-of-use assets by comparing the carrying amount of the asset to the estimated undiscounted future cash flows expected to be generated by the asset. If the carrying amount of the asset exceeds the estimated undiscounted future cash flows, an impairment charge is recognized based on the amount by which the carrying value of the asset exceeds its fair value. During years ended December 31, 2023, 2024 and 2025, the Company did not identify any indicators of impairment, and no impairment charges were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businesses acquired in a business combination are included in the Company’s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 Acquisition-related costs incurred by the Company are recognized as an expense in operations, general and administrative expenses within the consolidated statements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its best estimates and assumptions to assign fair value to the tangible and intangible assets acquired and liabilities assumed at the acquisition date. The Company’s estimates are inherently uncertain and subject to refinement within the measurement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measurement period, which may be up to one year from the acquisition date, and to the extent that the value was not previously finalized,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about facts and circumstance that existed at the date of acquisition and reevaluates these estimates and assumptions and records any adjustments to the Company’s preliminary estimates to goodwill, provided that it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0" w:after="180"/>
        <w:ind w:left="0" w:right="0" w:firstLine="360"/>
        <w:jc w:val="left"/>
        <w:rPr/>
      </w:pPr>
      <w:r>
        <w:rPr>
          <w:rFonts w:ascii="Times New Roman;serif" w:hAnsi="Times New Roman;serif"/>
          <w:b w:val="false"/>
          <w:color w:val="000000"/>
          <w:sz w:val="20"/>
        </w:rPr>
        <w:t>Goodwill represents the excess of the aggregate purchase consideration over the fair value of net assets acquired in a business combination. The Company performs an impairment analysis annually as of October 1</w:t>
      </w:r>
      <w:r>
        <w:rPr>
          <w:rFonts w:ascii="Times New Roman;serif" w:hAnsi="Times New Roman;serif"/>
          <w:b w:val="false"/>
          <w:color w:val="000000"/>
          <w:sz w:val="13"/>
        </w:rPr>
        <w:t>st</w:t>
      </w:r>
      <w:r>
        <w:rPr>
          <w:rFonts w:ascii="Times New Roman;serif" w:hAnsi="Times New Roman;serif"/>
          <w:b w:val="false"/>
          <w:color w:val="000000"/>
          <w:sz w:val="20"/>
        </w:rPr>
        <w:t xml:space="preserve">, or whenever events or circumstances indicate that the fair value of goodwill has been impaired. The Company performs goodwill impairment tests at the reporting unit level.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Acquired Intangible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Identifiable acquired intangible assets consist primarily of acquisition-related trademarks, customer relationships and developed technology to enable the Company to serve brand partners more effectively. The appropriate useful life of intangible assets is determined by performing an analysis of expected cash flows of the acquired assets. Intangible assets are recorded at cost and amortized on a straight-line basis over the estimated useful life: </w:t>
      </w:r>
    </w:p>
    <w:tbl>
      <w:tblPr>
        <w:tblW w:w="3464" w:type="dxa"/>
        <w:jc w:val="left"/>
        <w:tblInd w:w="0" w:type="dxa"/>
        <w:tblLayout w:type="fixed"/>
        <w:tblCellMar>
          <w:top w:w="28" w:type="dxa"/>
          <w:left w:w="28" w:type="dxa"/>
          <w:bottom w:w="28" w:type="dxa"/>
          <w:right w:w="28" w:type="dxa"/>
        </w:tblCellMar>
      </w:tblPr>
      <w:tblGrid>
        <w:gridCol w:w="895"/>
        <w:gridCol w:w="788"/>
        <w:gridCol w:w="791"/>
        <w:gridCol w:w="290"/>
        <w:gridCol w:w="290"/>
        <w:gridCol w:w="410"/>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5-10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 name</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includes U.S. (federal and state) and foreign income taxes. The Company operates in various tax jurisdictions and is subject to audit by various tax authorities.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 balances reflect the anticipated future effects of temporary differences between the carrying amounts of assets and liabilities and their tax basis and are stated at enacted tax rates expected to be in effect when taxes are actually paid or recovered.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tax assets are evaluated for future realization and reduced by a valuation allowance to the extent the Company believes it is more likely than not they will not be realized. The Company considers many factors when assessing the likelihood of future realization of deferred tax assets, including recent cumulative loss experience and expectation of future earnings, the carry-forward periods available for tax reporting purposes, reversal of temporary differences and other relevant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a two-step approach to recognizing and measuring uncertain income tax positions (tax contingencies). The first step is to evaluate the tax position for recognition by determining if the weight of available evidence indicates it is more likely than not the position will be sustained on audit, including resolution of related appeals or litigation processes. The second step is to measure the tax benefit as the largest amount which is more than 50% likely of being realized upon ultimate settlement. The Company considers many factors when evaluating its tax positions and estimating the related tax benefits, which may require periodic adjustment and which may not accurately forecast actual outcomes. The Company’s policy for recording interest and penalties associated with uncertain tax positions is to record such items as a component of the income tax provision.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(the “OECD”) has introduced a framework to implement a global minimum corporate tax of 15%, referred to as Pillar Two. Many aspects of Pillar Two became effective beginning in calendar year 2024 and other aspects will be effective beginning in calendar year 2025. While it is uncertain whether the U.S. will adopt Pillar Two, certain countries in which the Company operates have either adopted legislation or are in the process of introducing legislation to implement Pillar Two. While the Company does not expect Pillar Two to have a material impact on its effective tax rate, the Company’s analysis is ongoing as the OECD releases additional guidance and countries implement additional legislation.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 was signed into law on July 4, 2025. The OBBB makes changes to the U.S. corporate income tax, including immediate expensing of domestic research and development costs, with retroactive application beginning January 1, 2025, and reinstating the option to claim 100% accelerated depreciation deductions on qualified property, with retroactive application beginning January 20, 2025. The main impact of OBBB for our company is the timing changes to when certain expenses can be deducted, which does not impact the estimated annual effective tax rate. As such, OBBB does not have a material impact on our estimated annual effective tax rate in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currency of the Company is the U.S. dollar. The functional currency for the Company’s subsidiaries is generally the same as the local currency. Foreign currency denominated monetary assets and liabilities are remeasured into U.S. dollars at exchange rates at the balance sheet date, and foreign currency denominated non-monetary assets and liabilities are remeasured into U.S. dollars at historical exchange rates. Revenue and expenses are translated at average rates prevailing throughout the period. Realized gains or losses from foreign currency transactions and settlements are included in other income (expense), net in the consolidated statements of operations. Net realized foreign exchange gains and losses were not material for the years ended December 31, 2023, 2024 and 2025. Unrealized gains or losses from foreign currency remeasurement are included in other comprehensive income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and reports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To measure fair value, U.S. GAAP has established a hierarchy which requires an entity to maximize the use of observable inputs and minimize the use of unobservable inputs.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hierarchy uses three levels of inputs to measure the fair value of assets and liabilities as follows: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including quoted prices for similar assets or liabilities, quoted prices in less active markets, or other observable inputs that can be corroborated by observable market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2023, the Financial Accounting Standards Board (the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establishes new income tax disclosure requirements in addition to modifying and eliminating certain existing requirements. Under the new guidance, entities must consistently categorize and provide greater disaggregation of information in the rate reconciliation.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must also further disaggregate income taxes paid. The standard is intended to benefit stockholders by providing more detailed income tax disclosures that would be useful in making capital allocation decisions. The guidance applies to all entities subject to income taxes and is effective for annual periods beginning after December 15, 2024. The Company adopted the requirement of ASU 2023-09 on a prospective basis for the year ended December 31, 2025 as reflected in Note 13—Provision for Income Taxes.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 of specific expense categories in the notes to the financial statements. ASU 2024-03 is effective for annual periods beginning after December 15, 2026, and interim reporting periods within annual reporting periods beginning after December 15, 2027, with early adoption permitted and can be applied on either a prospective or retroactive basis. The Company is currently evaluating the impact that the adoption of this standard will have on its consolidated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measuring expected credit losses on current trade receivables and contract assets arising from revenue transactions within the scope of ASC 606, Revenue from Contracts with Customers. Under the expedient, an entity may assume that the conditions existing as of the reporting date will not change over the remaining life of the asset when estimating expected credit losses. ASU 2025-05 is effective for annual reporting periods beginning after December 15, 2025, including interim reporting periods within that annual period, with early adoption permitted on a prospective basis. The Company is currently evaluating the impact that the adoption of this standard will have on its consolidated financial statements and related disclosures but does not expect it to have a material impact.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(Topic 350-40): Targeted Improvements to the Accounting for Internal-Use Software</w:t>
      </w:r>
      <w:r>
        <w:rPr>
          <w:rFonts w:ascii="Times New Roman;serif" w:hAnsi="Times New Roman;serif"/>
          <w:b w:val="false"/>
          <w:color w:val="000000"/>
          <w:sz w:val="20"/>
        </w:rPr>
        <w:t xml:space="preserve">, which modernizes and clarifies guidance for capitalizing costs related to internal-use software development. The amendments remove stage-based terminology and incorporate guidance for website development costs previously included in ASC 350-50. ASU 2025-06 is effective for annual reporting periods beginning after December 15, 2027, and interim reporting periods within that annual period, with early adoption permitted. The Company is currently evaluating the impact that the adoption of this standard will have on its consolidated financial statements and related disclosures.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clarifies and enhances the guidance related to the form, content and disclosure requirements of interim financial statements. The amendments reorganize and codify certain interim disclosure requirements, incorporate disclosure guidance from other Topics into ASC 270, and establish a disclosure principle requiring entities to provide disclosures about events and transactions occurring after the most recent annual reporting period that materially affect the entity. ASU 2025-11 is effective for interim reporting periods within annual reporting periods beginning after December 15, 2027. Early adoption is permitted, and the guidance may be applied prospectively or retrospectively, in whole or in part. The Company is currently evaluating the impact that the adoption of this standard will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6563" w:type="dxa"/>
        <w:jc w:val="left"/>
        <w:tblInd w:w="0" w:type="dxa"/>
        <w:tblLayout w:type="fixed"/>
        <w:tblCellMar>
          <w:top w:w="28" w:type="dxa"/>
          <w:left w:w="28" w:type="dxa"/>
          <w:bottom w:w="28" w:type="dxa"/>
          <w:right w:w="28" w:type="dxa"/>
        </w:tblCellMar>
      </w:tblPr>
      <w:tblGrid>
        <w:gridCol w:w="1486"/>
        <w:gridCol w:w="1309"/>
        <w:gridCol w:w="1314"/>
        <w:gridCol w:w="211"/>
        <w:gridCol w:w="721"/>
        <w:gridCol w:w="109"/>
        <w:gridCol w:w="109"/>
        <w:gridCol w:w="109"/>
        <w:gridCol w:w="109"/>
        <w:gridCol w:w="211"/>
        <w:gridCol w:w="72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related to property and equipment was $8.4 million, $11.8 million and $14.3 million for the year ended December 31, 2023, 2024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Business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 2025, the Company completed the acquisition of 100% of the outstanding stock of ROI Hunter a.s., a Czech joint stock corporation (“ROI Hunter”). The acquisition of ROI Hunter expands the Company’s product offerings and enhances its market presence in the advertising intelligence platform sector. On December 18, 2025, the Company completed the acquisition of 100% of the outstanding stock of iDesign Technology USA LLC (“iDesign”). The acquisition of iDesign expands the Company’s product offerings and enhances its market presence in the digital media, influencer marketing and content-creation sectors. These transactions are expected to generate synergies through the integration of the acquired proprietary technologies and customer relationships. These acquisitions were accounted for as a business combination in accordance with ASC 805, Business Combinations.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consideration paid for the acquired entities and the amounts of the assets acquired and liabilities assumed recognized at the acquisition date:</w:t>
      </w:r>
    </w:p>
    <w:tbl>
      <w:tblPr>
        <w:tblW w:w="4700" w:type="dxa"/>
        <w:jc w:val="left"/>
        <w:tblInd w:w="0" w:type="dxa"/>
        <w:tblLayout w:type="fixed"/>
        <w:tblCellMar>
          <w:top w:w="28" w:type="dxa"/>
          <w:left w:w="28" w:type="dxa"/>
          <w:bottom w:w="28" w:type="dxa"/>
          <w:right w:w="28" w:type="dxa"/>
        </w:tblCellMar>
      </w:tblPr>
      <w:tblGrid>
        <w:gridCol w:w="1304"/>
        <w:gridCol w:w="1151"/>
        <w:gridCol w:w="115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tbl>
      <w:tblPr>
        <w:tblW w:w="4701" w:type="dxa"/>
        <w:jc w:val="left"/>
        <w:tblInd w:w="0" w:type="dxa"/>
        <w:tblLayout w:type="fixed"/>
        <w:tblCellMar>
          <w:top w:w="28" w:type="dxa"/>
          <w:left w:w="28" w:type="dxa"/>
          <w:bottom w:w="28" w:type="dxa"/>
          <w:right w:w="28" w:type="dxa"/>
        </w:tblCellMar>
      </w:tblPr>
      <w:tblGrid>
        <w:gridCol w:w="1308"/>
        <w:gridCol w:w="1152"/>
        <w:gridCol w:w="1155"/>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deferred acquisition consideration represents a liability for indemnification holdbacks that is expected to be paid to the sellers through annual installments ending in December 2028, subject to adjustment under the terms of the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goodwill acquired represents the excess of the purchase price over the fair value of net identifiable assets acquired and is attributable to expected synergies, assembled workforce and future growth opportunities. The goodwill acquired is not deductible for tax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w:t>
      </w:r>
    </w:p>
    <w:tbl>
      <w:tblPr>
        <w:tblW w:w="7255" w:type="dxa"/>
        <w:jc w:val="left"/>
        <w:tblInd w:w="0" w:type="dxa"/>
        <w:tblLayout w:type="fixed"/>
        <w:tblCellMar>
          <w:top w:w="28" w:type="dxa"/>
          <w:left w:w="28" w:type="dxa"/>
          <w:bottom w:w="28" w:type="dxa"/>
          <w:right w:w="28" w:type="dxa"/>
        </w:tblCellMar>
      </w:tblPr>
      <w:tblGrid>
        <w:gridCol w:w="1005"/>
        <w:gridCol w:w="883"/>
        <w:gridCol w:w="886"/>
        <w:gridCol w:w="431"/>
        <w:gridCol w:w="1475"/>
        <w:gridCol w:w="223"/>
        <w:gridCol w:w="109"/>
        <w:gridCol w:w="109"/>
        <w:gridCol w:w="109"/>
        <w:gridCol w:w="592"/>
        <w:gridCol w:w="592"/>
        <w:gridCol w:w="841"/>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for years data)</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Useful Life at Acquisition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acquired intangible assets are provisional pending receipt of the final valuations for those assets. The financial results of ROI Hunter and iDesign from their respective acquisition dates through December 31, 2025, were not material to our Consolidated Statements of Operations, nor were they material to our prior period consolidated results on a pro forma basis. Costs related to the ROI Hunter and iDesign acquisitions were not material to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Goodwill &amp;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goodwill resulting from the acquisition activity is primarily related to expected improvements in technology performance and functionality, as well as sales growth from future product and service offerings and new customers, together with certain intangible assets that do not qualify for separate recognition. The goodwill resulting from the acquisition activity is generally not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goodwill activity:</w:t>
      </w:r>
    </w:p>
    <w:tbl>
      <w:tblPr>
        <w:tblW w:w="3696" w:type="dxa"/>
        <w:jc w:val="left"/>
        <w:tblInd w:w="0" w:type="dxa"/>
        <w:tblLayout w:type="fixed"/>
        <w:tblCellMar>
          <w:top w:w="28" w:type="dxa"/>
          <w:left w:w="28" w:type="dxa"/>
          <w:bottom w:w="28" w:type="dxa"/>
          <w:right w:w="28" w:type="dxa"/>
        </w:tblCellMar>
      </w:tblPr>
      <w:tblGrid>
        <w:gridCol w:w="944"/>
        <w:gridCol w:w="832"/>
        <w:gridCol w:w="834"/>
        <w:gridCol w:w="211"/>
        <w:gridCol w:w="72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983"/>
        <w:gridCol w:w="643"/>
        <w:gridCol w:w="645"/>
        <w:gridCol w:w="292"/>
        <w:gridCol w:w="1000"/>
        <w:gridCol w:w="151"/>
        <w:gridCol w:w="109"/>
        <w:gridCol w:w="109"/>
        <w:gridCol w:w="109"/>
        <w:gridCol w:w="370"/>
        <w:gridCol w:w="1111"/>
        <w:gridCol w:w="193"/>
        <w:gridCol w:w="109"/>
        <w:gridCol w:w="109"/>
        <w:gridCol w:w="109"/>
        <w:gridCol w:w="252"/>
        <w:gridCol w:w="738"/>
        <w:gridCol w:w="130"/>
        <w:gridCol w:w="109"/>
        <w:gridCol w:w="109"/>
        <w:gridCol w:w="109"/>
        <w:gridCol w:w="791"/>
        <w:gridCol w:w="791"/>
        <w:gridCol w:w="1134"/>
      </w:tblGrid>
      <w:tr>
        <w:trPr/>
        <w:tc>
          <w:tcPr>
            <w:tcW w:w="9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for years data)</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3"/>
        <w:gridCol w:w="639"/>
        <w:gridCol w:w="641"/>
        <w:gridCol w:w="291"/>
        <w:gridCol w:w="997"/>
        <w:gridCol w:w="150"/>
        <w:gridCol w:w="109"/>
        <w:gridCol w:w="109"/>
        <w:gridCol w:w="109"/>
        <w:gridCol w:w="368"/>
        <w:gridCol w:w="1107"/>
        <w:gridCol w:w="192"/>
        <w:gridCol w:w="109"/>
        <w:gridCol w:w="109"/>
        <w:gridCol w:w="109"/>
        <w:gridCol w:w="235"/>
        <w:gridCol w:w="804"/>
        <w:gridCol w:w="121"/>
        <w:gridCol w:w="109"/>
        <w:gridCol w:w="109"/>
        <w:gridCol w:w="109"/>
        <w:gridCol w:w="785"/>
        <w:gridCol w:w="785"/>
        <w:gridCol w:w="1126"/>
      </w:tblGrid>
      <w:tr>
        <w:trPr/>
        <w:tc>
          <w:tcPr>
            <w:tcW w:w="98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for years data)</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recorded for intangible assets was approximately $3.7 million, $3.1 million and $2.5 million for the years ended December 31, 2023, 2024 and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future amortization expense for intangible assets as of December 31, 2025 is as follows: </w:t>
      </w:r>
    </w:p>
    <w:tbl>
      <w:tblPr>
        <w:tblW w:w="3633" w:type="dxa"/>
        <w:jc w:val="left"/>
        <w:tblInd w:w="0" w:type="dxa"/>
        <w:tblLayout w:type="fixed"/>
        <w:tblCellMar>
          <w:top w:w="28" w:type="dxa"/>
          <w:left w:w="28" w:type="dxa"/>
          <w:bottom w:w="28" w:type="dxa"/>
          <w:right w:w="28" w:type="dxa"/>
        </w:tblCellMar>
      </w:tblPr>
      <w:tblGrid>
        <w:gridCol w:w="846"/>
        <w:gridCol w:w="744"/>
        <w:gridCol w:w="750"/>
        <w:gridCol w:w="211"/>
        <w:gridCol w:w="721"/>
        <w:gridCol w:w="361"/>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3"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23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3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Other Assets and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Non-Current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assets consisted of the following:</w:t>
      </w:r>
    </w:p>
    <w:tbl>
      <w:tblPr>
        <w:tblW w:w="4523" w:type="dxa"/>
        <w:jc w:val="left"/>
        <w:tblInd w:w="0" w:type="dxa"/>
        <w:tblLayout w:type="fixed"/>
        <w:tblCellMar>
          <w:top w:w="28" w:type="dxa"/>
          <w:left w:w="28" w:type="dxa"/>
          <w:bottom w:w="28" w:type="dxa"/>
          <w:right w:w="28" w:type="dxa"/>
        </w:tblCellMar>
      </w:tblPr>
      <w:tblGrid>
        <w:gridCol w:w="749"/>
        <w:gridCol w:w="659"/>
        <w:gridCol w:w="661"/>
        <w:gridCol w:w="211"/>
        <w:gridCol w:w="721"/>
        <w:gridCol w:w="109"/>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5168" w:type="dxa"/>
        <w:jc w:val="left"/>
        <w:tblInd w:w="0" w:type="dxa"/>
        <w:tblLayout w:type="fixed"/>
        <w:tblCellMar>
          <w:top w:w="28" w:type="dxa"/>
          <w:left w:w="28" w:type="dxa"/>
          <w:bottom w:w="28" w:type="dxa"/>
          <w:right w:w="28" w:type="dxa"/>
        </w:tblCellMar>
      </w:tblPr>
      <w:tblGrid>
        <w:gridCol w:w="1059"/>
        <w:gridCol w:w="931"/>
        <w:gridCol w:w="934"/>
        <w:gridCol w:w="211"/>
        <w:gridCol w:w="616"/>
        <w:gridCol w:w="109"/>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Payroll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various non-cancelable operating lease agreements, primarily for the use of office and warehouse space, expiring at various dates through 2037. The Company’s right-of-use assets and lease liability include options to extend or terminate the lease when it is reasonably certain they will be exercised. The Company considers these options in determining the lease term on a lease-by-lease basis. The Company separately accounts for lease components and non-lease components. None of the Company’s lease agreements contain material non-lease components, residual value guarantees or restrictive covenants. The Company has elected an accounting policy to not recognize short-term leases, which have a lease term of twelve months or less, on the consolidated balance sheets. The Company does not have any material short-term lease cost or leases with variable lease costs. Lease expense primarily related to operating lease costs and were included within operations, general and administrative and sales and marketing expenses in the consolidated statements of operations. The Company recorded lease expense of $5.6 million, $7.1 million and $9.3 million for the years ended December 31, 2023, 2024 and 2025,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 Term and Discount 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(in years) and discount rate related to the operating leases were as follows:</w:t>
      </w:r>
    </w:p>
    <w:tbl>
      <w:tblPr>
        <w:tblW w:w="5654" w:type="dxa"/>
        <w:jc w:val="left"/>
        <w:tblInd w:w="0" w:type="dxa"/>
        <w:tblLayout w:type="fixed"/>
        <w:tblCellMar>
          <w:top w:w="28" w:type="dxa"/>
          <w:left w:w="28" w:type="dxa"/>
          <w:bottom w:w="28" w:type="dxa"/>
          <w:right w:w="28" w:type="dxa"/>
        </w:tblCellMar>
      </w:tblPr>
      <w:tblGrid>
        <w:gridCol w:w="1207"/>
        <w:gridCol w:w="1059"/>
        <w:gridCol w:w="1064"/>
        <w:gridCol w:w="255"/>
        <w:gridCol w:w="256"/>
        <w:gridCol w:w="458"/>
        <w:gridCol w:w="109"/>
        <w:gridCol w:w="109"/>
        <w:gridCol w:w="109"/>
        <w:gridCol w:w="255"/>
        <w:gridCol w:w="256"/>
        <w:gridCol w:w="5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Maturity of Lease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minimum lease payments under the Company’s operating lease liabilities as of December 31, 2025 is as follows:</w:t>
      </w:r>
    </w:p>
    <w:tbl>
      <w:tblPr>
        <w:tblW w:w="4385" w:type="dxa"/>
        <w:jc w:val="left"/>
        <w:tblInd w:w="0" w:type="dxa"/>
        <w:tblLayout w:type="fixed"/>
        <w:tblCellMar>
          <w:top w:w="28" w:type="dxa"/>
          <w:left w:w="28" w:type="dxa"/>
          <w:bottom w:w="28" w:type="dxa"/>
          <w:right w:w="28" w:type="dxa"/>
        </w:tblCellMar>
      </w:tblPr>
      <w:tblGrid>
        <w:gridCol w:w="1394"/>
        <w:gridCol w:w="951"/>
        <w:gridCol w:w="954"/>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supplemental cash flow information related to our operating leases:</w:t>
      </w:r>
    </w:p>
    <w:tbl>
      <w:tblPr>
        <w:tblW w:w="10205" w:type="dxa"/>
        <w:jc w:val="left"/>
        <w:tblInd w:w="0" w:type="dxa"/>
        <w:tblLayout w:type="fixed"/>
        <w:tblCellMar>
          <w:top w:w="28" w:type="dxa"/>
          <w:left w:w="28" w:type="dxa"/>
          <w:bottom w:w="28" w:type="dxa"/>
          <w:right w:w="28" w:type="dxa"/>
        </w:tblCellMar>
      </w:tblPr>
      <w:tblGrid>
        <w:gridCol w:w="2225"/>
        <w:gridCol w:w="1957"/>
        <w:gridCol w:w="1973"/>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6"/>
      </w:tblGrid>
      <w:tr>
        <w:trPr/>
        <w:tc>
          <w:tcPr>
            <w:tcW w:w="2225"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310" w:type="dxa"/>
            <w:gridSpan w:val="6"/>
            <w:tcBorders/>
          </w:tcPr>
          <w:p>
            <w:pPr>
              <w:pStyle w:val="TableContents"/>
              <w:bidi w:val="0"/>
              <w:spacing w:before="0" w:after="283"/>
              <w:jc w:val="left"/>
              <w:rPr>
                <w:sz w:val="4"/>
                <w:szCs w:val="4"/>
              </w:rPr>
            </w:pPr>
            <w:r>
              <w:rPr>
                <w:sz w:val="4"/>
                <w:szCs w:val="4"/>
              </w:rPr>
            </w:r>
          </w:p>
        </w:tc>
      </w:tr>
      <w:tr>
        <w:trPr/>
        <w:tc>
          <w:tcPr>
            <w:tcW w:w="6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for lease arrangements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Credit Facilities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is party to a revolving credit facility </w:t>
      </w:r>
      <w:r>
        <w:rPr>
          <w:rFonts w:ascii="Times New Roman;serif" w:hAnsi="Times New Roman;serif"/>
          <w:b w:val="false"/>
          <w:color w:val="000000"/>
          <w:sz w:val="20"/>
          <w:shd w:fill="FFFFFF" w:val="clear"/>
        </w:rPr>
        <w:t xml:space="preserve">with JPMorgan Chase Bank, N.A. and other lenders pursuant to the </w:t>
      </w:r>
      <w:r>
        <w:rPr>
          <w:rFonts w:ascii="Times New Roman;serif" w:hAnsi="Times New Roman;serif"/>
          <w:b w:val="false"/>
          <w:color w:val="000000"/>
          <w:sz w:val="20"/>
        </w:rPr>
        <w:t>Credit Agreement,</w:t>
      </w:r>
      <w:r>
        <w:rPr>
          <w:color w:val="000000"/>
          <w:shd w:fill="FFFFFF" w:val="clear"/>
        </w:rPr>
        <w:t xml:space="preserve"> </w:t>
      </w:r>
      <w:r>
        <w:rPr>
          <w:rFonts w:ascii="Times New Roman;serif" w:hAnsi="Times New Roman;serif"/>
          <w:b w:val="false"/>
          <w:color w:val="000000"/>
          <w:sz w:val="20"/>
          <w:shd w:fill="FFFFFF" w:val="clear"/>
        </w:rPr>
        <w:t xml:space="preserve">dated September 4, 2025. </w:t>
      </w:r>
      <w:r>
        <w:rPr>
          <w:rFonts w:ascii="Times New Roman;serif" w:hAnsi="Times New Roman;serif"/>
          <w:b w:val="false"/>
          <w:color w:val="000000"/>
          <w:sz w:val="20"/>
        </w:rPr>
        <w:t>The outstanding balance under the Company’s revolving line of credit facility was zero as of December 31, 2025 and the amount available to draw to was $150.0 million as of December 31, 2025. The revolving line of credit has a maturity date in September 2030 and will bear interest at a variable base rate plus an applicable margin ranging from 0.50% to 2.00%. The commitment fees on the unused portion range from 0.20% to 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credit agreement contains various financial, affirmative and negative covenants. As of December 31, 2025, the Company was in compliance with all covenants outlined in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by level, within the fair value hierarchy, the Company’s assets and liabilities measured at fair value on a recurring basis: </w:t>
      </w:r>
    </w:p>
    <w:tbl>
      <w:tblPr>
        <w:tblW w:w="4812" w:type="dxa"/>
        <w:jc w:val="left"/>
        <w:tblInd w:w="0" w:type="dxa"/>
        <w:tblLayout w:type="fixed"/>
        <w:tblCellMar>
          <w:top w:w="28" w:type="dxa"/>
          <w:left w:w="28" w:type="dxa"/>
          <w:bottom w:w="28" w:type="dxa"/>
          <w:right w:w="28" w:type="dxa"/>
        </w:tblCellMar>
      </w:tblPr>
      <w:tblGrid>
        <w:gridCol w:w="548"/>
        <w:gridCol w:w="483"/>
        <w:gridCol w:w="484"/>
        <w:gridCol w:w="211"/>
        <w:gridCol w:w="826"/>
        <w:gridCol w:w="109"/>
        <w:gridCol w:w="109"/>
        <w:gridCol w:w="109"/>
        <w:gridCol w:w="109"/>
        <w:gridCol w:w="211"/>
        <w:gridCol w:w="406"/>
        <w:gridCol w:w="109"/>
        <w:gridCol w:w="109"/>
        <w:gridCol w:w="109"/>
        <w:gridCol w:w="109"/>
        <w:gridCol w:w="211"/>
        <w:gridCol w:w="40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548"/>
        <w:gridCol w:w="483"/>
        <w:gridCol w:w="484"/>
        <w:gridCol w:w="211"/>
        <w:gridCol w:w="826"/>
        <w:gridCol w:w="109"/>
        <w:gridCol w:w="109"/>
        <w:gridCol w:w="109"/>
        <w:gridCol w:w="109"/>
        <w:gridCol w:w="211"/>
        <w:gridCol w:w="406"/>
        <w:gridCol w:w="109"/>
        <w:gridCol w:w="109"/>
        <w:gridCol w:w="109"/>
        <w:gridCol w:w="109"/>
        <w:gridCol w:w="211"/>
        <w:gridCol w:w="40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remaining liabilities measured at fair value on a recurring basis were immaterial for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Convertible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completed its IPO of shares of Series A common stock. Immediately prior to the completion of the IPO, 15,750,477 shares of Series A Preferred Stock were converted into an aggregate of 15,750,477 shares of Series A common stock in accordance with the original fixed-price conversion feature of the Series A Preferred Stock. Accordingly, the conversion of the Series A Preferred Stock was accounted for as a conversion with no gain, loss or deemed dividend recognized.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immediately prior to the completion of the IPO, 13,215,614 shares of Series B Preferred Stock were converted into an aggregate of 32,129,232 shares of Series A common stock in accordance with the original fixed-percentage conversion feature based on the IPO price, after giving effect to the Series B conversion rights. Under the Series B conversion rights, each share of Series B Preferred Stock converted into a number of shares of Series A common stock determined by dividing the original issue price of such share by the lesser of (a) the original issue price of such share (subject to certain anti-dilution adjustments) and (b) the IPO price per share discounted by 50.0% (the “Series B Preferred Special Conversion Ratio”). Accordingly, the conversion of the Series B Preferred Stock was accounted for as a redemption. As a result of this redemption feature, the fair value of the Series A common stock issued exceeded the carrying amount of the Series B Preferred Stock redeemed, resulting in a non-cash deemed dividend of $163.9 million during the year ended December 31, 2025, inclusive of a $67.4 million adjustment for cumulative undeclared dividends previously reported through June 30, 2025. The deemed dividend reduced earnings available to common shareholders in EPS and reduced retained earnings by $94.4 million as of December 31, 2025 with the residual amount charged against additional paid-in capital as the Company did not have sufficient retained earnings to absorb the full amount of the deemed dividend at the time of redemption.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holders of the Company’s Series A Preferred Stock and Series B Preferred Stock (collectively, “Convertible Preferred Stock”) had certain voting, dividend and redemption rights, as well as liquidation preferences and conversion privileges, in respect of the Convertible Preferred Stock. All of such rights, preferences and privileges associated with the Convertible Preferred Stock were terminated at the time of the Company’s IPO in conjunction with the conversion and redemption mentioned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redeemable Convertible Preferred Stock prior to the conversion into common stock upon completion of the IPO:</w:t>
      </w:r>
    </w:p>
    <w:tbl>
      <w:tblPr>
        <w:tblW w:w="10205" w:type="dxa"/>
        <w:jc w:val="left"/>
        <w:tblInd w:w="0" w:type="dxa"/>
        <w:tblLayout w:type="fixed"/>
        <w:tblCellMar>
          <w:top w:w="28" w:type="dxa"/>
          <w:left w:w="28" w:type="dxa"/>
          <w:bottom w:w="28" w:type="dxa"/>
          <w:right w:w="28" w:type="dxa"/>
        </w:tblCellMar>
      </w:tblPr>
      <w:tblGrid>
        <w:gridCol w:w="468"/>
        <w:gridCol w:w="411"/>
        <w:gridCol w:w="413"/>
        <w:gridCol w:w="502"/>
        <w:gridCol w:w="313"/>
        <w:gridCol w:w="314"/>
        <w:gridCol w:w="109"/>
        <w:gridCol w:w="109"/>
        <w:gridCol w:w="109"/>
        <w:gridCol w:w="435"/>
        <w:gridCol w:w="332"/>
        <w:gridCol w:w="333"/>
        <w:gridCol w:w="109"/>
        <w:gridCol w:w="109"/>
        <w:gridCol w:w="109"/>
        <w:gridCol w:w="476"/>
        <w:gridCol w:w="412"/>
        <w:gridCol w:w="414"/>
        <w:gridCol w:w="109"/>
        <w:gridCol w:w="109"/>
        <w:gridCol w:w="109"/>
        <w:gridCol w:w="265"/>
        <w:gridCol w:w="642"/>
        <w:gridCol w:w="137"/>
        <w:gridCol w:w="109"/>
        <w:gridCol w:w="109"/>
        <w:gridCol w:w="109"/>
        <w:gridCol w:w="264"/>
        <w:gridCol w:w="1035"/>
        <w:gridCol w:w="136"/>
        <w:gridCol w:w="109"/>
        <w:gridCol w:w="109"/>
        <w:gridCol w:w="109"/>
        <w:gridCol w:w="223"/>
        <w:gridCol w:w="874"/>
        <w:gridCol w:w="17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357" w:type="dxa"/>
            <w:gridSpan w:val="24"/>
            <w:tcBorders/>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Original 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28,966 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409,439 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270,601 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holders of Series B Preferred Stock were entitled to cumulative dividends at a rate of 8.0% of the original issue price, or $17.01 per share, if and when declared by the Company’s board of directors. The holders of Series B Preferred Stock were entitled to receive dividends on a pari passu basis, prior to and in preference to any dividends to common stockholders. After the IPO and conversion, these dividend rights ceased, and there were no accrued and unpaid dividends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dividends declared or paid during the years ended December 31,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completed its IPO of shares of Series A common stock and all of the Company’s then-outstanding shares of common stock were reclassified into shares of Series A common stock. The Company sold 10,714,286 shares of its Series A common stock in connection with the IPO and has recognized $135.0 million in proceeds, after deducting $10.5 million of underwriting discounts and commissions and $4.5 million of offering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two series of common stock: Series A common stock with a par value of $0.001 per share and Series B common stock with a par value of $0.001 per share. The rights of the holders of Series A common stock and Series B common stock are identical, except with respect to voting and conversion rights. Each share of Series A common stock is entitled to one vote. Each share of Series B common stock is entitled to 20 votes and is convertible at any time into one share of Series A common stock. Holders of common stock are entitled to receive any dividends as may be declared by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completion of the IPO, 17,797,821 shares of Founder Voting Preferred Stock, $0.001 par value per share, were reclassified and converted into an aggregate of 21,702,510 shares of Series B common stock, and 68,994,553 shares of Founder Non-Voting Preferred Stock, $0.001 par value per share, were reclassified and converted into an aggregate of 84,131,370 shares of Series A common stock, based on the IPO price, after giving effect to Founder Preferred Stock Amendment, as described below, and to certain transfers by the co-founder trusts to the co-founders.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Founder Preferred Stock Amendment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following approval by its board of directors, amended its Certificate of Incorporation to revise the conversion terms of the Founder Voting Preferred Stock and Founder Non-Voting Preferred Stock (collectively, the “Founder Preferred Stock”) (the “Founder Preferred Stock Amendment”). The revised terms provided that upon completion of an IPO, the Founder Preferred Stock would convert into Series B common stock or Series A common stock, as applicable, at a ratio that would limit the dilution impact on the holders of such stock to 3.33%, as a result of the special conversion ratio applicable to the Series B Preferred Stock in connection with an IPO, provided, no adjustment will be made for any incremental dilution that exceeds 9.00% (see Note 10—Convertible Preferred Stock for additional information on the Series B Preferred Stock conversion rights). If an IPO was not completed by December 31, 2025, the Founder Preferred Stock would have reverted to its original 1:1 conversion ratio into Series B common stock or Series A common stock, as applicable. The Founder Preferred Stock were considered to be common stock equivalents for purposes of calculating EPS given that they share equally with common stock in the liquidation of the Company’s net assets. Accordingly, the amended terms represented a non-pro rata distribution to the holders of the Founder Preferred Stock (“the Founder Preferred Stockholders”) and, as a result, the Company recognized a non-cash expense of $32.7 million for the incremental fair value associated with the modified terms within the caption stock amendment expense on our consolidated statement of operations. The conversion of the Founder Preferred Stock under the amended conversion rights was accounted for as an equity conversion with no gain, loss or deemed dividend recognized.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 Authorized, Issued and Reserved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reserved the following shares of common stock for future issuance:</w:t>
      </w:r>
    </w:p>
    <w:tbl>
      <w:tblPr>
        <w:tblW w:w="7299" w:type="dxa"/>
        <w:jc w:val="left"/>
        <w:tblInd w:w="0" w:type="dxa"/>
        <w:tblLayout w:type="fixed"/>
        <w:tblCellMar>
          <w:top w:w="28" w:type="dxa"/>
          <w:left w:w="28" w:type="dxa"/>
          <w:bottom w:w="28" w:type="dxa"/>
          <w:right w:w="28" w:type="dxa"/>
        </w:tblCellMar>
      </w:tblPr>
      <w:tblGrid>
        <w:gridCol w:w="1959"/>
        <w:gridCol w:w="1726"/>
        <w:gridCol w:w="1730"/>
        <w:gridCol w:w="109"/>
        <w:gridCol w:w="109"/>
        <w:gridCol w:w="109"/>
        <w:gridCol w:w="109"/>
        <w:gridCol w:w="486"/>
        <w:gridCol w:w="490"/>
        <w:gridCol w:w="472"/>
      </w:tblGrid>
      <w:tr>
        <w:trPr/>
        <w:tc>
          <w:tcPr>
            <w:tcW w:w="195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under the 2019 and 2025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under the 2025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176,394 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but not reserved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2,095,250 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classified within the corresponding operating expense categories in the consolidated statements of operations as follows:</w:t>
      </w:r>
    </w:p>
    <w:tbl>
      <w:tblPr>
        <w:tblW w:w="7018" w:type="dxa"/>
        <w:jc w:val="left"/>
        <w:tblInd w:w="0" w:type="dxa"/>
        <w:tblLayout w:type="fixed"/>
        <w:tblCellMar>
          <w:top w:w="28" w:type="dxa"/>
          <w:left w:w="28" w:type="dxa"/>
          <w:bottom w:w="28" w:type="dxa"/>
          <w:right w:w="28" w:type="dxa"/>
        </w:tblCellMar>
      </w:tblPr>
      <w:tblGrid>
        <w:gridCol w:w="1175"/>
        <w:gridCol w:w="1036"/>
        <w:gridCol w:w="1044"/>
        <w:gridCol w:w="109"/>
        <w:gridCol w:w="109"/>
        <w:gridCol w:w="109"/>
        <w:gridCol w:w="109"/>
        <w:gridCol w:w="211"/>
        <w:gridCol w:w="541"/>
        <w:gridCol w:w="109"/>
        <w:gridCol w:w="109"/>
        <w:gridCol w:w="109"/>
        <w:gridCol w:w="109"/>
        <w:gridCol w:w="211"/>
        <w:gridCol w:w="406"/>
        <w:gridCol w:w="109"/>
        <w:gridCol w:w="109"/>
        <w:gridCol w:w="109"/>
        <w:gridCol w:w="109"/>
        <w:gridCol w:w="211"/>
        <w:gridCol w:w="721"/>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expense associated with cash-settled restricted stock units was $2.3 million for the year ended December 31, 2025 and was included in operations, general and administrative in the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Award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2019, Pattern Group Inc. adopted the 2019 Equity Incentive Plan (as amended, the “2019 Plan”). Under the 2019 Plan, the board of directors may grant stock options, restricted stock, RSUs, stock appreciation rights or a dividend equivalent to eligible employees, officers, non-employee directors and consultants. Under the 2019 Plan, these RSUs granted to employees and directors included both service-based and performance-based vesting conditions. The performance-based vesting condition was satisfied by the IPO.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board of directors adopted the 2025 Equity Incentive Plan (the “2025 Plan”), which became effective upon the date immediately preceding the date on which the registration statement was declared effective by the SEC. Under the 2025 Plan, the board of directors may grant stock options, restricted shares, RSUs, stock appreciation rights, dividend equivalent rights and cash bonuses to eligible employees, officers, non-employee directors and consultants. Following the IPO, outstanding RSUs under both the 2019 Plan and 2025 Plan include only a service-based vesting condition. The service-based vesting condition is generally satisfied by rendering continuous service, generally for 4 years, during which time a quarter of the award vests annually.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(excluding the executive incentive agreement described below):</w:t>
      </w:r>
    </w:p>
    <w:tbl>
      <w:tblPr>
        <w:tblW w:w="7736" w:type="dxa"/>
        <w:jc w:val="left"/>
        <w:tblInd w:w="0" w:type="dxa"/>
        <w:tblLayout w:type="fixed"/>
        <w:tblCellMar>
          <w:top w:w="28" w:type="dxa"/>
          <w:left w:w="28" w:type="dxa"/>
          <w:bottom w:w="28" w:type="dxa"/>
          <w:right w:w="28" w:type="dxa"/>
        </w:tblCellMar>
      </w:tblPr>
      <w:tblGrid>
        <w:gridCol w:w="1168"/>
        <w:gridCol w:w="1026"/>
        <w:gridCol w:w="1030"/>
        <w:gridCol w:w="396"/>
        <w:gridCol w:w="399"/>
        <w:gridCol w:w="166"/>
        <w:gridCol w:w="109"/>
        <w:gridCol w:w="109"/>
        <w:gridCol w:w="109"/>
        <w:gridCol w:w="693"/>
        <w:gridCol w:w="2023"/>
        <w:gridCol w:w="50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 except per share fair values)</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2019 Plan, the Company records stock-based compensation expense in connection with RSUs based on the fair market value of its common stock (as described further below) on the grant date using the accelerated attribution method when it is probable the performance-based vesting condition will be achieved. Under the 2025 Plan, the Company records stock-based compensation expense in connection with RSUs based on the fair market value of its common stock (as quoted on the Nasdaq Global Select Market) on the grant date, ratably over the requisite service period of the award. Upon vesting of RSUs, the Company withholds shares from employees to satisfy the employee portion of payroll tax obligations (“net share settlement”) which are classified as a financing activity in the consolidated statement of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valuation of RSUs granted under the 2019 Plan, was determined in accordance with the guidance provided by the American Institute of American Institute of Certified Public Accountants in its Accounting &amp; Valuation Guide. An equity value was estimated using a weighted average of the guideline public company method and the backsolve method (market approaches). These methods considered information from a selection of comparable publicly traded companies and the Company’s historical Series A and Series B Preferred Stock transactions. For the public company method, valuation multiples were calculated from selected company operating data to provide an indication of how much a current investor in the marketplace would be willing to pay for a company with characteristics similar to the Company. These valuation multiples were evaluated and adjusted based on the strengths and weaknesses of the Company relative to those of the selected guideline companies. The multiples are applied to the Company’s operating data to arrive at a relative indication of fair value. Enterprise value was next allocated to differing security holders in the capitalization schedule using the Option Pricing Method (the “OPM”). The OPM utilized breakpoints based on various terms of the stockholder agreements upon liquidation of the enterprise, the level of seniority among the securities, dividend policy, conversion ratios and cash allocations. Estimated volatility ranged from 55% to 60% and the discount for lack of marketability ranged from 14.8% to 20.0%.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Application of the valuation procedures for RSUs granted under the 2019 Plan involved the use of estimates, judgment and assumptions that are highly complex and subjective, such as those regarding expected future revenue and EBITDA, market multiples, the selection of comparable companies, the lack of marketability of the Company’s common stock, precedent transactions involving the Company’s shares, market performance of comparable publicly traded companies, U.S. and global capital market conditions and the probability of possible future events. Changes in any or all of these estimates and assumptions or the relationships between those assumptions impact the valuations as of each valuation date and may have a material impact on the valuation of the Company’s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unrecognized stock-based compensation expense related to these awards was $66.8 million as of December 31, 2025 and the weighted-average remaining requisite service period is 2.98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the board of directors approved a stand-alone restricted stock unit agreement for the Company’s Chief Executive Officer (“CEO”) subject to certain performance and market conditions. In August 2025, the stand-alone restricted stock unit agreement for the Company’s CEO was cancelled. No expense was recognized upon cancellation of the award in August 2025 as the performance and market conditions had not occurred.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2025 Employee Stock Purchase Plan (“ESPP”) was adopted by the board of directors on September 9, 2025, was approved by the Company’s stockholders on September 9, 2025, and became effective on the date immediately preceding the date on which the registration statement was declared effective by the SEC. The ESPP initially reserves and authorizes the issuance of up to a total of 3,086,351 shares of Series A common stock to participating employees. Each employee who is a participant in the ESPP will be able to purchase shares by authorizing payroll deductions of up to 15% of his or her eligible compensation during an offering period. The ESPP provides for a 6-month offering periods beginning December 1 and June 1 of each year, beginning on December 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participating employee has previously withdrawn from the offering, his or her accumulated payroll deductions will be used to purchase shares of Series A common stock on the last business day of the offering period at a price equal to 85% of the fair market value of the shares on the first business day or the last business day of the offering period, whichever is lower, provided that no more than a number of shares of Series A common stock determined by dividing $25,000 by the fair market value of the Series A common stock on the first day of the offering may be purchased by any one employee during any offering period. Under applicable tax rules, an employee may purchase no more than $25,000 worth of shares of Series A common stock, valued at the start of the purchase period, under the ESPP in any calendar year. An employee’s rights under the ESPP will terminate upon voluntary withdrawal from the plan or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employee ceases employment with the Company for any reason. The ESPP may be terminated or amended by the board of directors at any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$0.3 million of contributions into the ESPP during the year ended December 31, 2025 and no shares purchased under the ESPP during the year ended December 31, 2025. Stock-based compensation expense associated with the ESPP is included in the stock-based compensation expense table above. Stock-based compensation expense associated with the ESPP recognized during year ended December 31, 2025 and unrecognized stock-based compensation expense at December 31, 2025 was not material.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 2025 Plan and the ESPP provide for annual automatic increases in the number of shares of Series A common stock reserved thereunder, and the 2025 Plan provides for increases to the number of shares of Series A common stock that may be granted thereunder based on shares underlying any awards under the 2025 Plan and the 2019 Plan that are forfeited, cancelled or are otherwise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consisted of the following:</w:t>
      </w:r>
    </w:p>
    <w:tbl>
      <w:tblPr>
        <w:tblW w:w="6911" w:type="dxa"/>
        <w:jc w:val="left"/>
        <w:tblInd w:w="0" w:type="dxa"/>
        <w:tblLayout w:type="fixed"/>
        <w:tblCellMar>
          <w:top w:w="28" w:type="dxa"/>
          <w:left w:w="28" w:type="dxa"/>
          <w:bottom w:w="28" w:type="dxa"/>
          <w:right w:w="28" w:type="dxa"/>
        </w:tblCellMar>
      </w:tblPr>
      <w:tblGrid>
        <w:gridCol w:w="1239"/>
        <w:gridCol w:w="885"/>
        <w:gridCol w:w="890"/>
        <w:gridCol w:w="211"/>
        <w:gridCol w:w="721"/>
        <w:gridCol w:w="109"/>
        <w:gridCol w:w="109"/>
        <w:gridCol w:w="109"/>
        <w:gridCol w:w="109"/>
        <w:gridCol w:w="211"/>
        <w:gridCol w:w="721"/>
        <w:gridCol w:w="109"/>
        <w:gridCol w:w="109"/>
        <w:gridCol w:w="109"/>
        <w:gridCol w:w="109"/>
        <w:gridCol w:w="211"/>
        <w:gridCol w:w="79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and international components of income before income taxes are as follows: </w:t>
      </w:r>
    </w:p>
    <w:tbl>
      <w:tblPr>
        <w:tblW w:w="6686" w:type="dxa"/>
        <w:jc w:val="left"/>
        <w:tblInd w:w="0" w:type="dxa"/>
        <w:tblLayout w:type="fixed"/>
        <w:tblCellMar>
          <w:top w:w="28" w:type="dxa"/>
          <w:left w:w="28" w:type="dxa"/>
          <w:bottom w:w="28" w:type="dxa"/>
          <w:right w:w="28" w:type="dxa"/>
        </w:tblCellMar>
      </w:tblPr>
      <w:tblGrid>
        <w:gridCol w:w="1039"/>
        <w:gridCol w:w="910"/>
        <w:gridCol w:w="915"/>
        <w:gridCol w:w="211"/>
        <w:gridCol w:w="721"/>
        <w:gridCol w:w="109"/>
        <w:gridCol w:w="109"/>
        <w:gridCol w:w="109"/>
        <w:gridCol w:w="109"/>
        <w:gridCol w:w="211"/>
        <w:gridCol w:w="721"/>
        <w:gridCol w:w="109"/>
        <w:gridCol w:w="109"/>
        <w:gridCol w:w="109"/>
        <w:gridCol w:w="109"/>
        <w:gridCol w:w="211"/>
        <w:gridCol w:w="721"/>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&amp; 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tabular rate reconciliation pursuant to the disclosure requirements of ASU 2023-09 for the year ended December 31, 2025. The individual tax effect of foreign jurisdictions were not material for purposes of disaggregation for the year ended December 31, 2025:</w:t>
      </w:r>
    </w:p>
    <w:tbl>
      <w:tblPr>
        <w:tblW w:w="7645" w:type="dxa"/>
        <w:jc w:val="left"/>
        <w:tblInd w:w="0" w:type="dxa"/>
        <w:tblLayout w:type="fixed"/>
        <w:tblCellMar>
          <w:top w:w="28" w:type="dxa"/>
          <w:left w:w="28" w:type="dxa"/>
          <w:bottom w:w="28" w:type="dxa"/>
          <w:right w:w="28" w:type="dxa"/>
        </w:tblCellMar>
      </w:tblPr>
      <w:tblGrid>
        <w:gridCol w:w="1539"/>
        <w:gridCol w:w="1349"/>
        <w:gridCol w:w="1356"/>
        <w:gridCol w:w="109"/>
        <w:gridCol w:w="109"/>
        <w:gridCol w:w="109"/>
        <w:gridCol w:w="109"/>
        <w:gridCol w:w="261"/>
        <w:gridCol w:w="984"/>
        <w:gridCol w:w="134"/>
        <w:gridCol w:w="134"/>
        <w:gridCol w:w="134"/>
        <w:gridCol w:w="134"/>
        <w:gridCol w:w="381"/>
        <w:gridCol w:w="385"/>
        <w:gridCol w:w="418"/>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computed at the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taxes, net of federal benefits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 (net of UTBs)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3,319.4 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2,146.1 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(1)State taxes and local taxes in California, New York, Illinois, and Florida comprise the majority of this category.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items accounting for differences between income taxes computed at the federal statutory rate and the provision recorded for income taxes are as follows for the year ended December 31, 2023 and 2024: </w:t>
      </w:r>
    </w:p>
    <w:tbl>
      <w:tblPr>
        <w:tblW w:w="6916" w:type="dxa"/>
        <w:jc w:val="left"/>
        <w:tblInd w:w="0" w:type="dxa"/>
        <w:tblLayout w:type="fixed"/>
        <w:tblCellMar>
          <w:top w:w="28" w:type="dxa"/>
          <w:left w:w="28" w:type="dxa"/>
          <w:bottom w:w="28" w:type="dxa"/>
          <w:right w:w="28" w:type="dxa"/>
        </w:tblCellMar>
      </w:tblPr>
      <w:tblGrid>
        <w:gridCol w:w="1539"/>
        <w:gridCol w:w="1349"/>
        <w:gridCol w:w="1356"/>
        <w:gridCol w:w="211"/>
        <w:gridCol w:w="721"/>
        <w:gridCol w:w="109"/>
        <w:gridCol w:w="109"/>
        <w:gridCol w:w="109"/>
        <w:gridCol w:w="109"/>
        <w:gridCol w:w="211"/>
        <w:gridCol w:w="721"/>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computed at the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 of: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foreign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&amp; development tax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to return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income taxes paid by jurisdiction pursuant to the disclosure requirements of ASU 2023-09 for the year ended December 31, 2025:</w:t>
      </w:r>
    </w:p>
    <w:tbl>
      <w:tblPr>
        <w:tblW w:w="5189"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109"/>
        <w:gridCol w:w="475"/>
        <w:gridCol w:w="1623"/>
        <w:gridCol w:w="34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18,468 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assets consisted of the following as of: </w:t>
      </w:r>
    </w:p>
    <w:tbl>
      <w:tblPr>
        <w:tblW w:w="5154" w:type="dxa"/>
        <w:jc w:val="left"/>
        <w:tblInd w:w="0" w:type="dxa"/>
        <w:tblLayout w:type="fixed"/>
        <w:tblCellMar>
          <w:top w:w="28" w:type="dxa"/>
          <w:left w:w="28" w:type="dxa"/>
          <w:bottom w:w="28" w:type="dxa"/>
          <w:right w:w="28" w:type="dxa"/>
        </w:tblCellMar>
      </w:tblPr>
      <w:tblGrid>
        <w:gridCol w:w="1017"/>
        <w:gridCol w:w="892"/>
        <w:gridCol w:w="896"/>
        <w:gridCol w:w="211"/>
        <w:gridCol w:w="616"/>
        <w:gridCol w:w="109"/>
        <w:gridCol w:w="109"/>
        <w:gridCol w:w="109"/>
        <w:gridCol w:w="109"/>
        <w:gridCol w:w="211"/>
        <w:gridCol w:w="721"/>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&amp; development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Inventory (UNICAP)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research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valuation allowance of $7.5 million and $14.0 million as of December 31, 2024 and 2025, respectively, to reduce its deferred tax assets related to foreign net operating losses and Utah state research and development tax credits to their net realizable value. The Company has determined that as a result of uncertainty related to the usability of the net operating loss and research and development benefits a valuation allowance was required. Changes in the valuation allowance are detailed in the table below: </w:t>
      </w:r>
    </w:p>
    <w:tbl>
      <w:tblPr>
        <w:tblW w:w="5859" w:type="dxa"/>
        <w:jc w:val="left"/>
        <w:tblInd w:w="0" w:type="dxa"/>
        <w:tblLayout w:type="fixed"/>
        <w:tblCellMar>
          <w:top w:w="28" w:type="dxa"/>
          <w:left w:w="28" w:type="dxa"/>
          <w:bottom w:w="28" w:type="dxa"/>
          <w:right w:w="28" w:type="dxa"/>
        </w:tblCellMar>
      </w:tblPr>
      <w:tblGrid>
        <w:gridCol w:w="1273"/>
        <w:gridCol w:w="1115"/>
        <w:gridCol w:w="1122"/>
        <w:gridCol w:w="211"/>
        <w:gridCol w:w="616"/>
        <w:gridCol w:w="109"/>
        <w:gridCol w:w="109"/>
        <w:gridCol w:w="109"/>
        <w:gridCol w:w="109"/>
        <w:gridCol w:w="211"/>
        <w:gridCol w:w="721"/>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Reduction to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net operating loss carryovers by jurisdiction as follows: </w:t>
      </w:r>
    </w:p>
    <w:tbl>
      <w:tblPr>
        <w:tblW w:w="4277"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416"/>
        <w:gridCol w:w="416"/>
        <w:gridCol w:w="592"/>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(year)</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N/A</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N/A</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N/A</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N/A</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605" cy="14605"/>
                <wp:effectExtent l="0" t="0" r="0" b="0"/>
                <wp:wrapNone/>
                <wp:docPr id="103" name="Frame9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the following tax credit carryover amounts: </w:t>
      </w:r>
    </w:p>
    <w:tbl>
      <w:tblPr>
        <w:tblW w:w="5417" w:type="dxa"/>
        <w:jc w:val="left"/>
        <w:tblInd w:w="0" w:type="dxa"/>
        <w:tblLayout w:type="fixed"/>
        <w:tblCellMar>
          <w:top w:w="28" w:type="dxa"/>
          <w:left w:w="28" w:type="dxa"/>
          <w:bottom w:w="28" w:type="dxa"/>
          <w:right w:w="28" w:type="dxa"/>
        </w:tblCellMar>
      </w:tblPr>
      <w:tblGrid>
        <w:gridCol w:w="988"/>
        <w:gridCol w:w="868"/>
        <w:gridCol w:w="874"/>
        <w:gridCol w:w="211"/>
        <w:gridCol w:w="616"/>
        <w:gridCol w:w="109"/>
        <w:gridCol w:w="109"/>
        <w:gridCol w:w="109"/>
        <w:gridCol w:w="109"/>
        <w:gridCol w:w="416"/>
        <w:gridCol w:w="416"/>
        <w:gridCol w:w="592"/>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(year)</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research &amp;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Utah research &amp;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tax benefits from uncertain tax positions when it is more likely than not, based on the technical merits, that the position will be sustained upon examination. The following table summarizes the activity related to unrecognized tax benefits:</w:t>
      </w:r>
    </w:p>
    <w:tbl>
      <w:tblPr>
        <w:tblW w:w="7689" w:type="dxa"/>
        <w:jc w:val="left"/>
        <w:tblInd w:w="0" w:type="dxa"/>
        <w:tblLayout w:type="fixed"/>
        <w:tblCellMar>
          <w:top w:w="28" w:type="dxa"/>
          <w:left w:w="28" w:type="dxa"/>
          <w:bottom w:w="28" w:type="dxa"/>
          <w:right w:w="28" w:type="dxa"/>
        </w:tblCellMar>
      </w:tblPr>
      <w:tblGrid>
        <w:gridCol w:w="2023"/>
        <w:gridCol w:w="1779"/>
        <w:gridCol w:w="1793"/>
        <w:gridCol w:w="211"/>
        <w:gridCol w:w="466"/>
        <w:gridCol w:w="109"/>
        <w:gridCol w:w="109"/>
        <w:gridCol w:w="109"/>
        <w:gridCol w:w="109"/>
        <w:gridCol w:w="211"/>
        <w:gridCol w:w="616"/>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7"/>
              <w:jc w:val="left"/>
              <w:rPr>
                <w:rFonts w:ascii="Times New Roman;serif" w:hAnsi="Times New Roman;serif"/>
                <w:b/>
                <w:color w:val="000000"/>
                <w:sz w:val="16"/>
              </w:rPr>
            </w:pPr>
            <w:r>
              <w:rPr>
                <w:rFonts w:ascii="Times New Roman;serif" w:hAnsi="Times New Roman;serif"/>
                <w:b/>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to unrecognized tax benefits taken in prior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to unrecognized tax benefits related to the current year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Decrease due to lapse of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amount of unrecognized tax benefits that, if recognized, would affect the effective tax rate were $0.5 million, $0.5 million and $1.2 million for the years ended December 31, 2023, 2024 and 2025, respectively. The Company records interest and penalties associated with unrecognized tax benefits as a component of income tax expense. The amount of accrued penalties and interest included in the total balance of unrecognized tax benefits is insignificant in 2024 and 2025. The Company is generally no longer subject to income tax examinations by federal jurisdictions for years before 2022, state and local years before 2021 and foreign years before 2020.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did not have any material future payments under non-cancelable purchase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business. Loss contingencies are recorded when it is both probable that a liability has been incurred and the amount of the loss can be reasonably estimated. Accounting for contingencies requires the use of judgment related to both the likelihood of a loss and the estimate of the amount or range of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was not involved in any legal proceedings, individually or in the aggregate, that the Company believes are probably or reasonably possible to have a material adverse effect on its business, results of operations, financial condition or cash flows.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provide indemnifications of varying scope and terms to customers, brand partners, lessors, investors, directors, officers, employees and other parties with respect to certain matters. Indemnification may include losses from the breach of such agreements, services the Company provides or third-party intellectual property infringement claims. These indemnifications may survive termination of the underlying agreement and the maximum potential amount of future indemnification payments may not be subject to a cap.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Benefit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employee retirement benefit plan (the “Plan”) under Section 401(k) of the Internal Revenue Code. The Plan covers employees who are U.S. citizens, are at least 21 years of age and have been employed by the Company longer than 90 days. The Company contributes a safe harbor match in an amount equal to employee contributions up to 3% of the participating employee’s compensation and matches an amount equal to half of the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contributions between 3% and 5%. These contributions are subject to ERISA requirements. Total contributions by the Company to the Plan were $2.0 million, $2.5 million and $2.7 million during the years ended December 31, 2023, 2024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Related-Party Lease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iServe Investments, LLC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office and warehouse space from a related party, iServe Investments, LLC, which is wholly owned by two majority stockholders. Total lease cost and related expenses for the lease was not material for the years ended December 31, 2023,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17. Segment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a consolidated basis and operates as a single operating and reportable segment. The Company primarily derives its revenue in the United States by selling products to customers via online marketplaces.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who reviews financial information on a consolidated basis. The CODM uses consolidated net income to assess financial performance and allocate resources. Net income is used by the CODM to make key operating decisions by comparing actual net income to historical results and previously forecasted financial information. The CODM does not review assets in evaluating the results of the reportable segment.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and reportable segment:</w:t>
      </w:r>
    </w:p>
    <w:tbl>
      <w:tblPr>
        <w:tblW w:w="8877" w:type="dxa"/>
        <w:jc w:val="left"/>
        <w:tblInd w:w="0" w:type="dxa"/>
        <w:tblLayout w:type="fixed"/>
        <w:tblCellMar>
          <w:top w:w="28" w:type="dxa"/>
          <w:left w:w="28" w:type="dxa"/>
          <w:bottom w:w="28" w:type="dxa"/>
          <w:right w:w="28" w:type="dxa"/>
        </w:tblCellMar>
      </w:tblPr>
      <w:tblGrid>
        <w:gridCol w:w="1395"/>
        <w:gridCol w:w="1229"/>
        <w:gridCol w:w="1230"/>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Fulfillment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Marketplace commissions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general and administrative</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 and related taxes</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amendment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(1)Fulfillment include costs incurred from third-party fulfillment centers and cost to operate and staff the Company’s fulfillment centers, excluding share-based compensation and related taxes.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(2)Marketplace commissions includes referral fees charged by the various online marketplaces.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(3)Sales, general and administrative relate to employee headcount, excluding share-based compensation and related taxes, and other selling and general administrative costs.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(4)Technology represents items included in research in development within the consolidated statement of operations, excluding share-based compensation and related taxes, and the amortization of capitalized internally developed software costs.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(5)Share-based compensation and related taxes include compensation expense for both stock and cash settled restricted stock units and the related employer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2—Summary of Significant Accounting Policies for additional information about revenue disaggregation.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long-lived tangible assets, as well as the Company's operating lease right-of-use assets recognized on the consolidated balance sheets were located as follows:</w:t>
      </w:r>
    </w:p>
    <w:tbl>
      <w:tblPr>
        <w:tblW w:w="3625" w:type="dxa"/>
        <w:jc w:val="left"/>
        <w:tblInd w:w="0" w:type="dxa"/>
        <w:tblLayout w:type="fixed"/>
        <w:tblCellMar>
          <w:top w:w="28" w:type="dxa"/>
          <w:left w:w="28" w:type="dxa"/>
          <w:bottom w:w="28" w:type="dxa"/>
          <w:right w:w="28" w:type="dxa"/>
        </w:tblCellMar>
      </w:tblPr>
      <w:tblGrid>
        <w:gridCol w:w="423"/>
        <w:gridCol w:w="373"/>
        <w:gridCol w:w="375"/>
        <w:gridCol w:w="211"/>
        <w:gridCol w:w="721"/>
        <w:gridCol w:w="109"/>
        <w:gridCol w:w="109"/>
        <w:gridCol w:w="109"/>
        <w:gridCol w:w="109"/>
        <w:gridCol w:w="211"/>
        <w:gridCol w:w="721"/>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required by the Securities Exchange Act of 1934 (the “1934 Act”), under the supervision and with the participation of our chief executive officer and chief financial officer, of the effectiveness of the design and operation of our disclosure controls and procedures, as defined in Rule 13a-15(e) of the 1934 Act, as of December 31, 2025. Based on this evaluation, our chief executive officer and chief financial officer concluded that, as of December 31, 2025,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controls over financial reporting that occurred during the quarter ended December 31, 2025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Trading Plans of Directors or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our directors or officers (as defined in Rule 16a-1(f) of the Exchange Act) adopted, terminated or modified the amount, pricing or provisions in a “Rule 10b5-1 trading arrangement” or a “non-Rule 10b5-1 trading agreement”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 that Prevent Inspections.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included in our Proxy Statement relating to our 2026 annual meeting of shareholders to be filed with the SEC within 120 days of the fiscal year ended December 31, 2025 (our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included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included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included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included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Statements Schedules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statements are filed as part of this Annual Report on Form 10-K under Part II, Item 8, Financial Statements and Supplementary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 schedules are omitted because they are either not applicable or the information required is presented in the financial statements and notes thereto under Part II, Item 8, Financial Statements and Supplementary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297"/>
        <w:gridCol w:w="262"/>
        <w:gridCol w:w="264"/>
        <w:gridCol w:w="109"/>
        <w:gridCol w:w="109"/>
        <w:gridCol w:w="109"/>
        <w:gridCol w:w="1385"/>
        <w:gridCol w:w="1231"/>
        <w:gridCol w:w="1244"/>
        <w:gridCol w:w="109"/>
        <w:gridCol w:w="109"/>
        <w:gridCol w:w="109"/>
        <w:gridCol w:w="173"/>
        <w:gridCol w:w="173"/>
        <w:gridCol w:w="175"/>
        <w:gridCol w:w="109"/>
        <w:gridCol w:w="109"/>
        <w:gridCol w:w="109"/>
        <w:gridCol w:w="337"/>
        <w:gridCol w:w="254"/>
        <w:gridCol w:w="222"/>
        <w:gridCol w:w="109"/>
        <w:gridCol w:w="109"/>
        <w:gridCol w:w="109"/>
        <w:gridCol w:w="230"/>
        <w:gridCol w:w="230"/>
        <w:gridCol w:w="231"/>
        <w:gridCol w:w="109"/>
        <w:gridCol w:w="109"/>
        <w:gridCol w:w="109"/>
        <w:gridCol w:w="205"/>
        <w:gridCol w:w="205"/>
        <w:gridCol w:w="206"/>
        <w:gridCol w:w="109"/>
        <w:gridCol w:w="109"/>
        <w:gridCol w:w="109"/>
        <w:gridCol w:w="266"/>
        <w:gridCol w:w="266"/>
        <w:gridCol w:w="387"/>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Amended and Restated Certificate of Incorporation of Pattern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001-42852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Amended and Restated Bylaws of Pattern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001-42852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41.htm">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80"/>
                  <w:sz w:val="20"/>
                  <w:u w:val="single"/>
                </w:rPr>
                <w:t>Form of Series A common stock</w:t>
              </w:r>
            </w:hyperlink>
            <w:hyperlink r:id="rId13">
              <w:r>
                <w:rPr>
                  <w:rStyle w:val="InternetLink"/>
                  <w:rFonts w:ascii="Times New Roman;serif" w:hAnsi="Times New Roman;serif"/>
                  <w:b w:val="false"/>
                  <w:color w:val="000080"/>
                  <w:sz w:val="20"/>
                  <w:u w:val="single"/>
                </w:rPr>
                <w:t xml:space="preserve"> certificate of the Registra</w:t>
              </w:r>
            </w:hyperlink>
            <w:hyperlink r:id="rId14">
              <w:r>
                <w:rPr>
                  <w:rStyle w:val="InternetLink"/>
                  <w:rFonts w:ascii="Times New Roman;serif" w:hAnsi="Times New Roman;serif"/>
                  <w:b w:val="false"/>
                  <w:color w:val="000080"/>
                  <w:sz w:val="20"/>
                  <w:u w:val="single"/>
                </w:rPr>
                <w:t>nt</w:t>
              </w:r>
            </w:hyperlink>
            <w:hyperlink r:id="rId15">
              <w:r>
                <w:rPr>
                  <w:rStyle w:val="InternetLink"/>
                  <w:rFonts w:ascii="Times New Roman;serif" w:hAnsi="Times New Roman;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Amended and Restated Investors’ Rights Agreement, dated September 28, 2021,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2019 Equity Incentive Plan, as amended, and forms of award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377-07612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103.htm">
              <w:r>
                <w:rPr>
                  <w:rStyle w:val="InternetLink"/>
                  <w:rFonts w:ascii="Times New Roman;serif" w:hAnsi="Times New Roman;serif"/>
                  <w:b w:val="false"/>
                  <w:color w:val="0000FF"/>
                  <w:sz w:val="20"/>
                  <w:u w:val="single"/>
                </w:rPr>
                <w:t>2025 Equity Incentive Plan, and forms of award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104.htm">
              <w:r>
                <w:rPr>
                  <w:rStyle w:val="InternetLink"/>
                  <w:rFonts w:ascii="Times New Roman;serif" w:hAnsi="Times New Roman;serif"/>
                  <w:b w:val="false"/>
                  <w:color w:val="0000FF"/>
                  <w:sz w:val="20"/>
                  <w:u w:val="single"/>
                </w:rPr>
                <w:t>2025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Executive Severance Plan, and form of participation letter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Offer Letter, dated November 19, 2020, by and between the Registrant and Jason Beesley.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Stand-Alone Restricted Stock Unit Agreement, dated February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Restricted Stock Unit Agreement Cancellation Agreement, dated August 20,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Credit Agreement, dated September 4, 2025, by and among the Registrant, JPMorgan Chase Bank, N.A., as Administrative Agent, and the Lenders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fcce30a0c014b699b6ea540c13ef329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7"/>
        <w:gridCol w:w="253"/>
        <w:gridCol w:w="254"/>
        <w:gridCol w:w="109"/>
        <w:gridCol w:w="109"/>
        <w:gridCol w:w="109"/>
        <w:gridCol w:w="1480"/>
        <w:gridCol w:w="1239"/>
        <w:gridCol w:w="1253"/>
        <w:gridCol w:w="109"/>
        <w:gridCol w:w="109"/>
        <w:gridCol w:w="109"/>
        <w:gridCol w:w="172"/>
        <w:gridCol w:w="172"/>
        <w:gridCol w:w="174"/>
        <w:gridCol w:w="109"/>
        <w:gridCol w:w="109"/>
        <w:gridCol w:w="109"/>
        <w:gridCol w:w="263"/>
        <w:gridCol w:w="263"/>
        <w:gridCol w:w="267"/>
        <w:gridCol w:w="109"/>
        <w:gridCol w:w="109"/>
        <w:gridCol w:w="109"/>
        <w:gridCol w:w="225"/>
        <w:gridCol w:w="225"/>
        <w:gridCol w:w="226"/>
        <w:gridCol w:w="109"/>
        <w:gridCol w:w="109"/>
        <w:gridCol w:w="109"/>
        <w:gridCol w:w="197"/>
        <w:gridCol w:w="197"/>
        <w:gridCol w:w="198"/>
        <w:gridCol w:w="109"/>
        <w:gridCol w:w="109"/>
        <w:gridCol w:w="109"/>
        <w:gridCol w:w="260"/>
        <w:gridCol w:w="260"/>
        <w:gridCol w:w="378"/>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Lease by and between the Registrant and Innovation Pointe Three, LLC, dated May 5, 2020; First Amendment to Lease Agreement, dated February 16, 2021; Second Amendment to Lease Agreement, dated July 27, 2023.</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Sublease by and between the Registrant and Route App, Inc., dated July 27,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Lease by and between the Registrant and Dugan Financing LLC, dated July 24, 2020; First Lease Amendment, dated March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Standard Industrial Lease Agreement by and between the Registrant and Columbia Nevada Carey Industrial, LLC, dated June 19,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8/22/2025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191.htm">
              <w:r>
                <w:rPr>
                  <w:rStyle w:val="InternetLink"/>
                  <w:rFonts w:ascii="Times New Roman;serif" w:hAnsi="Times New Roman;serif"/>
                  <w:b w:val="false"/>
                  <w:color w:val="0000FF"/>
                  <w:sz w:val="20"/>
                  <w:u w:val="single"/>
                </w:rPr>
                <w:t>Pattern Group Inc.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231.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ce30a0c014b699b6ea540c13ef329_142">
              <w:r>
                <w:rPr>
                  <w:rStyle w:val="InternetLink"/>
                  <w:rFonts w:ascii="Times New Roman;serif" w:hAnsi="Times New Roman;serif"/>
                  <w:b w:val="false"/>
                  <w:color w:val="000080"/>
                  <w:sz w:val="20"/>
                  <w:u w:val="single"/>
                </w:rPr>
                <w:t>Power of Attorney</w:t>
              </w:r>
            </w:hyperlink>
            <w:hyperlink w:anchor="i5fcce30a0c014b699b6ea540c13ef329_142">
              <w:r>
                <w:rPr>
                  <w:rStyle w:val="InternetLink"/>
                  <w:rFonts w:ascii="Times New Roman;serif" w:hAnsi="Times New Roman;serif"/>
                  <w:b w:val="false"/>
                  <w:color w:val="000080"/>
                  <w:sz w:val="20"/>
                  <w:u w:val="single"/>
                </w:rPr>
                <w:t xml:space="preserve"> (i</w:t>
              </w:r>
            </w:hyperlink>
            <w:hyperlink w:anchor="i5fcce30a0c014b699b6ea540c13ef329_142">
              <w:r>
                <w:rPr>
                  <w:rStyle w:val="InternetLink"/>
                  <w:rFonts w:ascii="Times New Roman;serif" w:hAnsi="Times New Roman;serif"/>
                  <w:b w:val="false"/>
                  <w:color w:val="000080"/>
                  <w:sz w:val="20"/>
                  <w:u w:val="single"/>
                </w:rPr>
                <w:t>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322.htm">
              <w:r>
                <w:rPr>
                  <w:rStyle w:val="InternetLink"/>
                  <w:rFonts w:ascii="Times New Roman;serif" w:hAnsi="Times New Roman;serif"/>
                  <w:b w:val="false"/>
                  <w:color w:val="000080"/>
                  <w:sz w:val="20"/>
                  <w:u w:val="single"/>
                </w:rPr>
                <w:t>Certification of Principal Financial Officer pursuant to 18 U.S.C. Section 1350, as adopted pursuant to Section 906 of the Sarbanes-Oxley Act of 2002.</w:t>
              </w:r>
            </w:hyperlink>
            <w:hyperlink w:anchor="ptrn-20251231xexx322.htm">
              <w:r>
                <w:rPr>
                  <w:rStyle w:val="InternetLink"/>
                  <w:rFonts w:ascii="Times New Roman;serif" w:hAnsi="Times New Roman;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trn-20251231xexx971.htm">
              <w:r>
                <w:rPr>
                  <w:rStyle w:val="InternetLink"/>
                  <w:rFonts w:ascii="Times New Roman;serif" w:hAnsi="Times New Roman;serif"/>
                  <w:b w:val="false"/>
                  <w:color w:val="0000FF"/>
                  <w:sz w:val="20"/>
                  <w:u w:val="single"/>
                </w:rPr>
                <w:t>Pattern Group Inc.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fcce30a0c014b699b6ea540c13ef329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507"/>
        <w:gridCol w:w="1507"/>
        <w:gridCol w:w="1520"/>
        <w:gridCol w:w="109"/>
        <w:gridCol w:w="109"/>
        <w:gridCol w:w="109"/>
        <w:gridCol w:w="170"/>
        <w:gridCol w:w="170"/>
        <w:gridCol w:w="171"/>
        <w:gridCol w:w="109"/>
        <w:gridCol w:w="109"/>
        <w:gridCol w:w="109"/>
        <w:gridCol w:w="131"/>
        <w:gridCol w:w="131"/>
        <w:gridCol w:w="132"/>
        <w:gridCol w:w="109"/>
        <w:gridCol w:w="109"/>
        <w:gridCol w:w="109"/>
        <w:gridCol w:w="216"/>
        <w:gridCol w:w="216"/>
        <w:gridCol w:w="217"/>
        <w:gridCol w:w="109"/>
        <w:gridCol w:w="109"/>
        <w:gridCol w:w="109"/>
        <w:gridCol w:w="183"/>
        <w:gridCol w:w="183"/>
        <w:gridCol w:w="184"/>
        <w:gridCol w:w="109"/>
        <w:gridCol w:w="109"/>
        <w:gridCol w:w="109"/>
        <w:gridCol w:w="249"/>
        <w:gridCol w:w="249"/>
        <w:gridCol w:w="364"/>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Pattern Group Inc.'s Annual Report on Form 10-K for the year ended December 31, 2025 formatted in Inline XBRL (Extensible Business Reporting Language) includes: (i) the Consolidated Statements of Operations, (ii) the Consolidated Statements of Comprehensive Income (Loss), (iii) the Consolidated Statements of Cash Flows, (iv) the Consolidated Balance Sheets, (v) the Consolidated Statements of Changes in Stockholders of Changes in Convertible Preferred Stock and Stockholders’ Equity, and (vi) Notes to the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#Indicates management contract or compensatory plan, contract or agreement.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6"/>
        </w:rPr>
        <w:t>Certain schedules and exhibits to this agreement have been omitted pursuant to Item 601(a)(5) of Regulation S-K. A copy of any omitted schedule and/or exhibit will be furnished supplementally to the SEC upon request.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certifications attached as Exhibits 32.1 and 32.2 that accompany this Annual Report on Form 10-K are deemed “furnished” and not “filed” for purposes of Section 18 of the Exchange Act. Such certifications will not be deemed to be incorporated by reference into any filings under the Securities Act or the Exchange Act, except to the extent specifically incorporated by reference into such filing.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ind w:left="0" w:right="0" w:firstLine="360"/>
        <w:jc w:val="left"/>
        <w:rPr/>
      </w:pPr>
      <w:hyperlink w:anchor="i5fcce30a0c014b699b6ea540c13ef329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8501" w:type="dxa"/>
        <w:jc w:val="left"/>
        <w:tblInd w:w="0" w:type="dxa"/>
        <w:tblLayout w:type="fixed"/>
        <w:tblCellMar>
          <w:top w:w="28" w:type="dxa"/>
          <w:left w:w="28" w:type="dxa"/>
          <w:bottom w:w="28" w:type="dxa"/>
          <w:right w:w="28" w:type="dxa"/>
        </w:tblCellMar>
      </w:tblPr>
      <w:tblGrid>
        <w:gridCol w:w="645"/>
        <w:gridCol w:w="568"/>
        <w:gridCol w:w="571"/>
        <w:gridCol w:w="349"/>
        <w:gridCol w:w="349"/>
        <w:gridCol w:w="349"/>
        <w:gridCol w:w="1649"/>
        <w:gridCol w:w="1649"/>
        <w:gridCol w:w="237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PATTERN GROUP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David Wright, Melanie Alder, Jason Beesley and Ben Craven, and each of them individually, as his or her attorney-in-fact, each with the full power of substitution, for him or her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in the capacities and on the dates indicated.</w:t>
      </w:r>
    </w:p>
    <w:tbl>
      <w:tblPr>
        <w:tblW w:w="7613"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1360"/>
        <w:gridCol w:w="1360"/>
        <w:gridCol w:w="1375"/>
        <w:gridCol w:w="109"/>
        <w:gridCol w:w="109"/>
        <w:gridCol w:w="109"/>
        <w:gridCol w:w="389"/>
        <w:gridCol w:w="389"/>
        <w:gridCol w:w="556"/>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David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Melanie Alder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Co-founder, Chief Strategy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Melanie Alder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Beesley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Jason Beesley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Bailey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John Bailey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Gay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Hilton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Scott Hilton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Ann Mather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 Mather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Susan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Susan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DESCRIPTION OF THE REGISTRANT’S SECURITIES </w:t>
        <w:br/>
        <w:t>REGISTERED PURSUANT TO SECTION 12 OF THE EXCHANGE ACT OF 1934</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Pattern Group Inc. (“us,” “our,” “we” or the “Company”) has one class of securities registered under Section 12 of the Securities Exchange Act of 1934, as amended (the “Exchange Act”): our Series A common stock, $0.001 par value per share. The following description summarizes certain important terms of our capital stock and is intended as a summary only and therefore is not a complete description. This description is based upon, and is qualified by reference to, our amended and restated certificate of incorporation, our amended and restated bylaws and applicable provisions of the Delaware General Corporation Law (the “DGCL”). You should read our amended and restated certificate of incorporation and our amended and restated bylaws, which are incorporated by reference as Exhibit 3.1 and Exhibit 3.2, respectively, to the Annual Report on Form 10-K of which this Exhibit 4.1 is a part, as well as the applicable portions of the DGCL, for the provisions that are important to you.</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authorized capital stock consists of 2,200,000,000 shares of Series A common stock, $0.001 par value per share, 100,000,000 shares of Series B common stock, $0.001 par value per share, and 200,000,000 shares of undesignated preferred stock, $0.001 par value per share.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board of directors is authorized, without stockholder approval except as required by the corporate governance requirements of The Nasdaq Stock Market LLC, to issue additional shares of our capital stock.</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Series A Common Stock and Series B Common Stock</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have two series of authorized common stock: Series A common stock and a series of Series B common stock. Other than as described below under the subsections titled “-Voting Rights” and “-Conversion”, the rights of our Series A and Series B common stock are identical.</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Dividend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Voting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Holders of our Series A common stock are entitled to one vote for each share, and holders of our Series B common stock are entitled to 20 votes per share, on all matters submitted to a vote of stockholders. The holders of our Series A common stock and Series B common stock generally vote together as a single class on all matters submitted to a vote of our stockholders, unless otherwise required by Delaware law or our amended and restated certificate of incorporation. If we were to seek to amend our amended and restated certificate of incorporation in a manner that alters or changes the powers, preferences or special rights of a series of a class of our capital stock in a manner that affected its holders adversely, but does not affect the entire class, Delaware law would require either holders of our Series A common stock or Series B common stock to vote separately as a single class to approve the proposed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do not provide for cumulative voting for the election of directors in our amended and restated certificate of incorporation. Our amended and restated certificate of incorporation and amended and restated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Conversion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outstanding share of Series B common stock is convertible at any time at the option of the holder into one share of Series A common stock. In addition, each share of Series B common stock will convert automatically into one share of Series A common stock on the earliest to occur of: (i) any transfer, whether or not for value, except for certain permitted transfers described in our amended and restated certificate of incorporation, including transfers to either  David Wright or Melanie Alder (each, a “co-founder” and together, the “co-founders”) or trusts for the benefit of a holder of Series B common stock or persons other than the stockholder so long as such stockholder has sole dispositive power and exclusive voting control with respect to the shares of Series B common stock held by such trust; (ii) in the case of a stockholder who is a natural person, the death or incapacity of such stockholder, provided that in the case of the death or incapacity of a co-founder, the shares of Series B common stock held by such co-founder will not convert into Series A common stock for so long as the living co-founder retains voting control over such shares of Series B common stock; (iii) the date specified by affirmative vote of the holders of at least 66-2/3% of the outstanding shares of Series B common stock, voting as a single class, and (iv) a Founders Triggering Event. A “Founders Triggering Event” is the first to occur of either of (A) the first date upon which, for both co-founders, the aggregate number of shares of our capital stock and shares underlying any securities (including RSUs, options, or other convertible instruments) held by a co-founder and their permitted transferees represent less than 30% of the Series B common stock held by such co-founder and their permitted transferees as of immediately following the completion of our initial public offering; or (B) the occurrence of a Founders Separation Event for both co-founders. A “Founders Separation Event” means, with respect to a co-founder, (a) the first occurrence of both of (i) such co-founder is no longer actively involved in the business by providing services to us as an officer, employee, consultant or otherwise, and (ii) such co-founder is no longer a director as a result of such co-founder’s voluntary resignation from our board of directors or as a result of a written request or agreement by such co-founder not to be renominated as a director at a meeting of stockholders, or (b) the death or incapacity of such co-founder. Once converted into Series A common stock, the Series B common stock will not be reissued.</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No Preemptive or Similar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Series A common stock and Series B common stock are not entitled to preemptive rights and are not subject to conversion (except, with respect to the Series B common stock, as noted above), redemption or sinking fund provisions.</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Right to Receive Liquidation Distributions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we become subject to a liquidation, dissolution or winding-up, the assets legally available for distribution to our stockholders would be distributable ratably among the holders of our Series A common stock and Series B common stock and any participating preferred stock outstanding at that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time, subject to prior satisfaction of all outstanding debt and liabilities and the preferential rights of and the payment of liquidation preferences, if any, on any outstanding shares of preferred stock.</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board of directors is authorized, subject to limitations prescribed by Delaware law, to issue preferred stock in one or more class, to establish from time to time the number of shares to be included in each class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Series A common stock and the voting and other rights of the holders of our Series A common stock and Series B common stock.</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Co-Founder Voting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co-founders have entered into a co-founder voting agreement in connection with our initial public offering. The co-founder voting agreement provides that Series B common stock held by the co-founders is subject to a voting proxy given by each co-founder and its affiliated entities (other than the co-founders’ affiliated family trusts) to the other co-founder, and an agreement by each co-founder to vote its shares (a) 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 meeting of stockholders at which any co-founder is to be removed from our board of directors, and (c) at the written direction of the applicable co-founder proxy holder (as 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Nothing in the co-founder voting agreement requires either co-founder to serve as a director or stand for re-election.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co-founder voting agreement may include future affiliated entities of the co-founders which may hold Series A common stock or Series B common stock in the future.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are not a party to the co-founder voting agreement, and the co-founders can modify or terminate the co-founder voting agreement at any time.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Registration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Certain holders of our Series A common stock are entitled to rights with respect to the registration of their shares under the Securities Act of 1933, as amended (the “Securities Act”). These registration rights are contained in the Amended and Restated Investors’ Rights Agreement, dated as of September 28, 2021 (the “Investors’ Rights Agreement”). We, along with certain holders of our Series A common stock, are parties to the Investors’ Rights Agreement. The registration rights set forth in the Investors’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Rights Agreement will expire five years following our initial public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not to exceed $100,000, of one counsel for the selling holders. In an underwritten offering, the underwriters have the right, subject to specified conditions, to limit the number of shares such holders may include. </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Demand Registration Rights on Form S-1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Certain holders of our Series A common stock are entitled to certain demand registration rights. The holders of at least a majority of these shares outstanding may request that we register the offer and sale of their shares on a registration statement on Form S-1, so long as the request covers at least 40% of the shares registrable pursuant to the Investors’ Rights Agreement or such lesser percentage if the anticipated aggregate offering price, net of selling expenses, would exceed $10.0 million, subject to certain limitations. We are obligated to effect only two such registrations in the aggregate. If we determine that it would be materially detrimental to us and our stockholders to affect such a demand registration, we have the right to defer such registration, not more than twice in any 12-month period, for a period of not more than 60 days. Additionally, we will not be required to effect a demand registration on Form S-1 during the period beginning 60 days before our good faith estimate of the filing of, and ending on the date 180 days following the effectiveness of, a registration statement on Form S-1 relating to the public offering of our common stock. Additionally, we will not be required to effect a demand registration on Form S-1 if the requesting stockholders propose to dispose of shares of our Series A common stock that may be immediately registered pursuant to a demand registration on Form S-3 (as described in the subsection titled “-Demand Registration Rights on Form S-3” below).</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Piggyback Registration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we propose to register the offer and sale of our common stock under the Securities Act, in connection with the public offering of such common stock, certain holders of our Series A common stock are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(i) a registration relating to the sale or grant of securities to our employees or a subsidiary pursuant to any stock option, stock purchase, equity incentive or similar plan, (ii) a registration relating to a transaction under Rule 145 of the Securities Act; (iii) a registration on any form that does not include substantially the same information as would be required to be included in a registration statement covering the sale of our Series A common stock; or (iv)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Demand Registration Rights on Form S-3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Certain holders of our Series A common stock are entitled to certain Form S-3 demand registration rights. The holders of at least 20%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offering price, net of selling expenses, of at least $3.0 million, subject to certain limitations. These stockholders may make an unlimited number of requests for registration on Form S-3; however, we will not be required to effect a registration on Form S-3 if we have effected one such registration in the 12-month period immediately preceding the date of such request. If we determine that it would be materially detrimental to our stockholders to effect such a registration, we have the right to defer such registration, not more than twice in any 12-month period, for a period of not more than 60 days. Additionally, we will not be required to effect a demand registration on Form S-3 during the period beginning 30 days before our good faith estimate of the filing of, and ending on the date 90 days following the effectiveness of, a registration statement on Form S-3 relating to the public offering of our common stock.</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Anti-Takeover Provisions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Certain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Delaware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Amended and Restated Certificate of Incorporation and Amended and Restated Bylaws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Dual-Series Stock</w:t>
      </w:r>
      <w:r>
        <w:rPr>
          <w:rFonts w:ascii="Times New Roman;serif" w:hAnsi="Times New Roman;serif"/>
          <w:b w:val="false"/>
          <w:color w:val="000000"/>
          <w:sz w:val="24"/>
        </w:rPr>
        <w:t>. Our amended and restated certificate of incorporation provides for a dual-series common stock structure, which provides our co-founders with significant influence over all matters requiring stockholder approval, including the election of directors and significant corporate transactions, such as a merger or other sale of our company or our assets.</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Board of Directors Vacancies</w:t>
      </w:r>
      <w:r>
        <w:rPr>
          <w:rFonts w:ascii="Times New Roman;serif" w:hAnsi="Times New Roman;serif"/>
          <w:b w:val="false"/>
          <w:color w:val="000000"/>
          <w:sz w:val="24"/>
        </w:rPr>
        <w:t xml:space="preserve">. Our amended and restated certificate of incorporation authorizes our co-founders and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another party from increasing the size of our board of directors and then gaining control of our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directors by filling the resulting vacancies with its own nominees. These provisions will make it more difficult to change the composition of our board of directors and promote continuity of management.</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Classified Board</w:t>
      </w:r>
      <w:r>
        <w:rPr>
          <w:rFonts w:ascii="Times New Roman;serif" w:hAnsi="Times New Roman;serif"/>
          <w:b w:val="false"/>
          <w:color w:val="000000"/>
          <w:sz w:val="24"/>
        </w:rPr>
        <w:t>. 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Stockholder Action; Special Meeting of Stockholders.</w:t>
      </w:r>
      <w:r>
        <w:rPr>
          <w:color w:val="000000"/>
        </w:rPr>
        <w:t xml:space="preserve"> </w:t>
      </w:r>
      <w:r>
        <w:rPr>
          <w:rFonts w:ascii="Times New Roman;serif" w:hAnsi="Times New Roman;serif"/>
          <w:b w:val="false"/>
          <w:color w:val="000000"/>
          <w:sz w:val="24"/>
        </w:rPr>
        <w:t>Our amended and restated certificate of incorporation provides that if our co-founders collectively own greater than 50% of the voting power of our outstanding capital stock, (i) our stockholders shall have the right to take action by written consent to the extent the written consent sets forth the action so taken and is signed by the holders of outstanding stock having not less than the minimum number of votes that would be necessary to authorize or take such action at a meeting; and (ii) a special meeting of our stockholders may be called by holders of at least 50% of the voting power of our outstanding capital stock. Once our co-founders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hold more than 50% of the voting power of our outstanding capital stock).</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Advance Notice Requirements for Stockholder Proposals and Director Nominations</w:t>
      </w:r>
      <w:r>
        <w:rPr>
          <w:rFonts w:ascii="Times New Roman;serif" w:hAnsi="Times New Roman;serif"/>
          <w:b w:val="false"/>
          <w:color w:val="000000"/>
          <w:sz w:val="24"/>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No Cumulative Voting</w:t>
      </w:r>
      <w:r>
        <w:rPr>
          <w:rFonts w:ascii="Times New Roman;serif" w:hAnsi="Times New Roman;serif"/>
          <w:b w:val="false"/>
          <w:color w:val="000000"/>
          <w:sz w:val="24"/>
        </w:rPr>
        <w:t>. The DGCL provides that stockholders are not entitled to cumulate votes in the election of directors unless a corporation’s certificate of incorporation provides otherwise. Our amended and restated certificate of incorporation does not provide for cumulative voting.</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Removal of Directors</w:t>
      </w:r>
      <w:r>
        <w:rPr>
          <w:rFonts w:ascii="Times New Roman;serif" w:hAnsi="Times New Roman;serif"/>
          <w:b w:val="false"/>
          <w:color w:val="000000"/>
          <w:sz w:val="24"/>
        </w:rPr>
        <w:t>. Our amended and restated certificate of incorporation provides that if our co-founders collectively own greater than 50% of the voting power of our outstanding capital stock, a majority of our stockholders shall have the right to remove directors with or without cause.</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Issuance of Undesignated Preferred Stock</w:t>
      </w:r>
      <w:r>
        <w:rPr>
          <w:rFonts w:ascii="Times New Roman;serif" w:hAnsi="Times New Roman;serif"/>
          <w:b w:val="false"/>
          <w:color w:val="000000"/>
          <w:sz w:val="24"/>
        </w:rPr>
        <w:t>. Our board of directors has the authority, without further action by the stockholders, to issue up to 200,000,000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Exclusive Forum</w:t>
      </w:r>
      <w:r>
        <w:rPr>
          <w:rFonts w:ascii="Times New Roman;serif" w:hAnsi="Times New Roman;serif"/>
          <w:b w:val="false"/>
          <w:color w:val="000000"/>
          <w:sz w:val="24"/>
        </w:rPr>
        <w:t>. Our amended and restated bylaws provide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or a claim based on, a breach of a fiduciary duty owed by any of our current or former directors, officers and employees to us or our stockholders, (iii) any action asserting a claim against us, or any current or former director, officer or employee of ours, arising out of or pursuant to the DGCL, our amended and restated certificate of incorporation or our amended and restated bylaws or as to which the DGCL confers jurisdiction on the Court of Chancery of the State of Delaware or (iv) any action asserting a claim governed by the internal affairs doctrine; provided, however, that this provision does not apply to any causes of action arising under the Securities Act or the Exchange Act, or to any claim for which the federal courts have exclusive jurisdiction. In addition,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(the “Federal Forum Provision”). To the fullest extent permitted by law, any person or entity purchasing or otherwise acquiring any interest in our securities will be deemed to have notice of and to have consented to these forum provisions. These forum provisions may impose additional litigation costs on stockholders in pursuing any such claims, particularly if the stockholders do not reside in or near the State of Delaware. Additionally, the forum selection clause that is in our amended and restated bylaws may limit our stockholders’ ability to bring a claim in a judicial forum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the federal forum selection provisions purporting to require claims under the Securities Act be brought in federal court, there is uncertainty as to whether other courts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Conflicts of Interest</w:t>
      </w:r>
      <w:r>
        <w:rPr>
          <w:rFonts w:ascii="Times New Roman;serif" w:hAnsi="Times New Roman;serif"/>
          <w:b w:val="false"/>
          <w:color w:val="000000"/>
          <w:sz w:val="24"/>
        </w:rPr>
        <w:t xml:space="preserve">. The DGCL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the DGCL, renounces any interest or expectancy that we have in, or right to be offered an opportunity to participate in, specified business opportunities that are from time to time presented to Knox Lane LP or KSV Pattern, LLC or their respective affiliates or any of their respective directors, principals, members, officers, associated funds, employees, and/or other representatives, including any of the foregoing who serve as our directors who are not our employees, which we collectively refer to as Identified Persons. Our amended and restated certificate of incorporation provides that, to the fullest extent permitted by law, neither Knox Lane LP nor KSV Pattern, LLC nor any of their respective affiliates or Identified Persons will have any duty to refrain from (i) engaging in a corporate opportunity in the same or similar lines of business in which we or our affiliates now engage or propose to engage or (ii) otherwise competing with us or our affiliates. In addition, in the event that any Identified Person acquires knowledge of a potential transaction or other matter or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opportunity which may be a corporate opportunity for itself, herself or himself or for us or our affiliates, such person, to the fullest extent permitted by law, will have no fiduciary duty or other duty to communicate, present or offer such transaction or business opportunity to us or any of our affiliates and will not be liable to us, our stockholders or our affiliates for breach of any fiduciary duty or other duty as a stockholder, director or officer of our company solely by reason such person pursues or acquires such corporate opportunity for itself, herself or himself, offers or directs such corporate opportunity to another person, or does not present such corporate opportunity to us or our affiliates. Our amended and restated certificate of incorporation does not renounce our interest in any corporate opportunity that is expressly offered to any of our directors or officers in writing solely in his or her capacity as a director or officer of our company. No corporate opportunity will be deemed to be a potential corporate opportunity for us if it is a business opportunity our company is not financially or legally able or contractually permitted to undertake, or that is, from its nature, not in the line of our company’s business or is of no practical advantage to us or that is one in which our company has no interest or reasonable expectancy.</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Transfer Agent and Registrar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transfer agent and registrar for our Series A common stock and Series B common stock is Computershare Inc. The transfer agent’s address is 150 Royall St, Canton, MA 02021.</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Listing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Our Series A common stock is listed on the Nasdaq Global Select Market under the symbol “PTRN”.</w:t>
      </w:r>
    </w:p>
    <w:p>
      <w:pPr>
        <w:pStyle w:val="TextBody"/>
        <w:bidi w:val="0"/>
        <w:spacing w:before="0" w:after="240"/>
        <w:jc w:val="both"/>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p>
      <w:pPr>
        <w:pStyle w:val="TextBody"/>
        <w:bidi w:val="0"/>
        <w:spacing w:lineRule="auto" w:line="288" w:before="0" w:after="240"/>
        <w:ind w:left="0" w:right="0" w:hanging="1440"/>
        <w:jc w:val="left"/>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GENERAL PURPOSE OF THE PLAN; 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name of the plan is the Pattern Group Inc. 2025 Equity Incentive Plan (as amended from time to time, and including any subplans, supplements, appendices and/or addendums which shall be incorporated thereto, the “Plan”). The purpose of the Plan is to encourage and enable the officers, employees, Non-Employee Directors and Consultants of Pattern Group Inc., a Delaware corporation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Affiliates.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terms shall be defined as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Act”</w:t>
      </w:r>
      <w:r>
        <w:rPr>
          <w:color w:val="000000"/>
        </w:rPr>
        <w:t xml:space="preserve"> </w:t>
      </w:r>
      <w:r>
        <w:rPr>
          <w:rFonts w:ascii="Times New Roman;serif" w:hAnsi="Times New Roman;serif"/>
          <w:b w:val="false"/>
          <w:color w:val="000000"/>
          <w:sz w:val="24"/>
        </w:rPr>
        <w:t>means the U.S. Securities Act of 1933, as amended, and the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Administrator”</w:t>
      </w:r>
      <w:r>
        <w:rPr>
          <w:color w:val="000000"/>
        </w:rPr>
        <w:t xml:space="preserve"> </w:t>
      </w:r>
      <w:r>
        <w:rPr>
          <w:rFonts w:ascii="Times New Roman;serif" w:hAnsi="Times New Roman;serif"/>
          <w:b w:val="false"/>
          <w:color w:val="000000"/>
          <w:sz w:val="24"/>
        </w:rPr>
        <w:t>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 xml:space="preserve">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Award”</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Awards,”</w:t>
      </w:r>
      <w:r>
        <w:rPr>
          <w:color w:val="000000"/>
        </w:rPr>
        <w:t xml:space="preserve"> </w:t>
      </w:r>
      <w:r>
        <w:rPr>
          <w:rFonts w:ascii="Times New Roman;serif" w:hAnsi="Times New Roman;serif"/>
          <w:b w:val="false"/>
          <w:color w:val="000000"/>
          <w:sz w:val="24"/>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Award Agreement”</w:t>
      </w:r>
      <w:r>
        <w:rPr>
          <w:color w:val="000000"/>
        </w:rPr>
        <w:t xml:space="preserve"> </w:t>
      </w:r>
      <w:r>
        <w:rPr>
          <w:rFonts w:ascii="Times New Roman;serif" w:hAnsi="Times New Roman;serif"/>
          <w:b w:val="false"/>
          <w:color w:val="000000"/>
          <w:sz w:val="24"/>
        </w:rPr>
        <w:t>means a written or electronic document setting forth the terms and provisions applicable to an Award granted under the Plan. Each Award Agreement is subject to the terms and conditions of the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Cash-Based Award”</w:t>
      </w:r>
      <w:r>
        <w:rPr>
          <w:color w:val="000000"/>
        </w:rPr>
        <w:t xml:space="preserve"> </w:t>
      </w:r>
      <w:r>
        <w:rPr>
          <w:rFonts w:ascii="Times New Roman;serif" w:hAnsi="Times New Roman;serif"/>
          <w:b w:val="false"/>
          <w:color w:val="000000"/>
          <w:sz w:val="24"/>
        </w:rPr>
        <w:t>means an Award entitling the recipient to receive a cash-denominated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means, unless otherwise provided in an Award Agreement or employment or other service agreement between the Company and the grantee, (i) any material breach by the grantee of any agreement between the grantee and the Company; (ii) the conviction of, indictment for or plea of nolo contendere by the grantee to a felony or a crime involving moral turpitude; or (iii) any material misconduct or willful and deliberate non-performance (other than by reason of Disability) by the grantee of the grantee’s duties to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and any successor Code, and related rules, regulations and interpretations.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Consultant”</w:t>
      </w:r>
      <w:r>
        <w:rPr>
          <w:color w:val="000000"/>
        </w:rPr>
        <w:t xml:space="preserve"> </w:t>
      </w:r>
      <w:r>
        <w:rPr>
          <w:rFonts w:ascii="Times New Roman;serif" w:hAnsi="Times New Roman;serif"/>
          <w:b w:val="false"/>
          <w:color w:val="000000"/>
          <w:sz w:val="24"/>
        </w:rPr>
        <w:t xml:space="preserve">means a consultant or adviser who provides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services to the Company or an Affiliate as an independent contractor and who qualifies as a consultant or advisor under Instruction A.1.(a)(1) of Form S-8 under the Act.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Dividend Equivalent Right”</w:t>
      </w:r>
      <w:r>
        <w:rPr>
          <w:color w:val="000000"/>
        </w:rPr>
        <w:t xml:space="preserve"> </w:t>
      </w:r>
      <w:r>
        <w:rPr>
          <w:rFonts w:ascii="Times New Roman;serif" w:hAnsi="Times New Roman;serif"/>
          <w:b w:val="false"/>
          <w:color w:val="000000"/>
          <w:sz w:val="24"/>
        </w:rPr>
        <w:t>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 xml:space="preserve">Disability” </w:t>
      </w:r>
      <w:r>
        <w:rPr>
          <w:rFonts w:ascii="Times New Roman;serif" w:hAnsi="Times New Roman;serif"/>
          <w:b w:val="false"/>
          <w:color w:val="000000"/>
          <w:sz w:val="24"/>
        </w:rPr>
        <w:t>has the meaning set forth in Section 22(e)(3)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Effective Date”</w:t>
      </w:r>
      <w:r>
        <w:rPr>
          <w:color w:val="000000"/>
        </w:rPr>
        <w:t xml:space="preserve"> </w:t>
      </w:r>
      <w:r>
        <w:rPr>
          <w:rFonts w:ascii="Times New Roman;serif" w:hAnsi="Times New Roman;serif"/>
          <w:b w:val="false"/>
          <w:color w:val="000000"/>
          <w:sz w:val="24"/>
        </w:rPr>
        <w:t>means the date on which the Plan becomes effective as set forth in Section 19.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of the Stock on any given date means the fair market value of the Stock determined in good faith by the Administrator; provided, however, that, except as otherwise set forth herein, if the Stock is listed on the National Association of Securities Dealers Automated Quotation System (“NASDAQ”), NASDAQ Global Select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provided,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Incentive Stock Option”</w:t>
      </w:r>
      <w:r>
        <w:rPr>
          <w:color w:val="000000"/>
        </w:rPr>
        <w:t xml:space="preserve"> </w:t>
      </w:r>
      <w:r>
        <w:rPr>
          <w:rFonts w:ascii="Times New Roman;serif" w:hAnsi="Times New Roman;serif"/>
          <w:b w:val="false"/>
          <w:color w:val="000000"/>
          <w:sz w:val="24"/>
        </w:rPr>
        <w:t>means any Stock Option designated and qualified as an “incentive stock option” as defined in Section 422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Non-Employee Director”</w:t>
      </w:r>
      <w:r>
        <w:rPr>
          <w:color w:val="000000"/>
        </w:rPr>
        <w:t xml:space="preserve"> </w:t>
      </w:r>
      <w:r>
        <w:rPr>
          <w:rFonts w:ascii="Times New Roman;serif" w:hAnsi="Times New Roman;serif"/>
          <w:b w:val="false"/>
          <w:color w:val="000000"/>
          <w:sz w:val="24"/>
        </w:rPr>
        <w:t>means a member of the Board who is not also an employee of the Company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Non-Qualified Stock Option”</w:t>
      </w:r>
      <w:r>
        <w:rPr>
          <w:color w:val="000000"/>
        </w:rPr>
        <w:t xml:space="preserve"> </w:t>
      </w:r>
      <w:r>
        <w:rPr>
          <w:rFonts w:ascii="Times New Roman;serif" w:hAnsi="Times New Roman;serif"/>
          <w:b w:val="false"/>
          <w:color w:val="000000"/>
          <w:sz w:val="24"/>
        </w:rPr>
        <w:t>means any Stock Option that is not an Incentive Stock Option.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Option”</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Stock Option”</w:t>
      </w:r>
      <w:r>
        <w:rPr>
          <w:color w:val="000000"/>
        </w:rPr>
        <w:t xml:space="preserve"> </w:t>
      </w:r>
      <w:r>
        <w:rPr>
          <w:rFonts w:ascii="Times New Roman;serif" w:hAnsi="Times New Roman;serif"/>
          <w:b w:val="false"/>
          <w:color w:val="000000"/>
          <w:sz w:val="24"/>
        </w:rPr>
        <w:t>means any option to purchase shares of Stock granted pursuant to Section 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 xml:space="preserve">Registration Date” </w:t>
      </w:r>
      <w:r>
        <w:rPr>
          <w:rFonts w:ascii="Times New Roman;serif" w:hAnsi="Times New Roman;serif"/>
          <w:b w:val="false"/>
          <w:color w:val="000000"/>
          <w:sz w:val="24"/>
        </w:rPr>
        <w:t>means the date upon which the registration statement on Form S-1 that is filed by the Company with respect to its initial public offering is declared effective by the U.S.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Shares”</w:t>
      </w:r>
      <w:r>
        <w:rPr>
          <w:color w:val="000000"/>
        </w:rPr>
        <w:t xml:space="preserve"> </w:t>
      </w:r>
      <w:r>
        <w:rPr>
          <w:rFonts w:ascii="Times New Roman;serif" w:hAnsi="Times New Roman;serif"/>
          <w:b w:val="false"/>
          <w:color w:val="000000"/>
          <w:sz w:val="24"/>
        </w:rPr>
        <w:t>means the shares of Stock underlying a Restricted Stock Award that remain subject to a risk of forfeiture or the Company’s right of repurchase.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Stock Award”</w:t>
      </w:r>
      <w:r>
        <w:rPr>
          <w:color w:val="000000"/>
        </w:rPr>
        <w:t xml:space="preserve"> </w:t>
      </w:r>
      <w:r>
        <w:rPr>
          <w:rFonts w:ascii="Times New Roman;serif" w:hAnsi="Times New Roman;serif"/>
          <w:b w:val="false"/>
          <w:color w:val="000000"/>
          <w:sz w:val="24"/>
        </w:rPr>
        <w:t>means an Award of Restricted Shares subject to such restrictions and conditions as the Administrator may determine at the time of grant.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Stock Units”</w:t>
      </w:r>
      <w:r>
        <w:rPr>
          <w:color w:val="000000"/>
        </w:rPr>
        <w:t xml:space="preserve"> </w:t>
      </w:r>
      <w:r>
        <w:rPr>
          <w:rFonts w:ascii="Times New Roman;serif" w:hAnsi="Times New Roman;serif"/>
          <w:b w:val="false"/>
          <w:color w:val="000000"/>
          <w:sz w:val="24"/>
        </w:rPr>
        <w:t>means an Award of stock units subject to such restrictions and conditions as the Administrator may determine at the time of grant.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Sale Event”</w:t>
      </w:r>
      <w:r>
        <w:rPr>
          <w:color w:val="000000"/>
        </w:rPr>
        <w:t xml:space="preserve"> </w:t>
      </w:r>
      <w:r>
        <w:rPr>
          <w:rFonts w:ascii="Times New Roman;serif" w:hAnsi="Times New Roman;serif"/>
          <w:b w:val="false"/>
          <w:color w:val="000000"/>
          <w:sz w:val="24"/>
        </w:rPr>
        <w:t xml:space="preserve">means the occurrence of any one of the following events: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(for the avoidance of doubt, any change in majority voting power resulting from the conversion of Series B Common Stock of the Company to Series A Common Stock of the Company by an individual stockholder shall not, on its own, constitute a Sale Event).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Sale Price</w:t>
      </w:r>
      <w:r>
        <w:rPr>
          <w:color w:val="000000"/>
        </w:rPr>
        <w:t xml:space="preserve">” </w:t>
      </w:r>
      <w:r>
        <w:rPr>
          <w:rFonts w:ascii="Times New Roman;serif" w:hAnsi="Times New Roman;serif"/>
          <w:b w:val="false"/>
          <w:color w:val="000000"/>
          <w:sz w:val="24"/>
        </w:rPr>
        <w:t>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Section 409A”</w:t>
      </w:r>
      <w:r>
        <w:rPr>
          <w:color w:val="000000"/>
        </w:rPr>
        <w:t xml:space="preserve"> </w:t>
      </w:r>
      <w:r>
        <w:rPr>
          <w:rFonts w:ascii="Times New Roman;serif" w:hAnsi="Times New Roman;serif"/>
          <w:b w:val="false"/>
          <w:color w:val="000000"/>
          <w:sz w:val="24"/>
        </w:rPr>
        <w:t>means Section 409A of the Code and the regulations and other guidance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 xml:space="preserve">Service Relationship” </w:t>
      </w:r>
      <w:r>
        <w:rPr>
          <w:rFonts w:ascii="Times New Roman;serif" w:hAnsi="Times New Roman;serif"/>
          <w:b w:val="false"/>
          <w:color w:val="000000"/>
          <w:sz w:val="24"/>
        </w:rPr>
        <w:t xml:space="preserve">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 is no interruption or other termination of Service Relationship in connection with the grantee’s change in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Stock”</w:t>
      </w:r>
      <w:r>
        <w:rPr>
          <w:color w:val="000000"/>
        </w:rPr>
        <w:t xml:space="preserve"> </w:t>
      </w:r>
      <w:r>
        <w:rPr>
          <w:rFonts w:ascii="Times New Roman;serif" w:hAnsi="Times New Roman;serif"/>
          <w:b w:val="false"/>
          <w:color w:val="000000"/>
          <w:sz w:val="24"/>
        </w:rPr>
        <w:t>means the Series A Common Stock, par value $0.001 per share, of the Company, subject to adjustments pursuant to Section 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Stock Appreciation Right”</w:t>
      </w:r>
      <w:r>
        <w:rPr>
          <w:color w:val="000000"/>
        </w:rPr>
        <w:t xml:space="preserve"> </w:t>
      </w:r>
      <w:r>
        <w:rPr>
          <w:rFonts w:ascii="Times New Roman;serif" w:hAnsi="Times New Roman;serif"/>
          <w:b w:val="false"/>
          <w:color w:val="000000"/>
          <w:sz w:val="24"/>
        </w:rPr>
        <w:t>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any corporation or other entity (other than the Company) in which the Company has at least a 50 percent interest, either directly or indirectly.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Substitute Awards</w:t>
      </w:r>
      <w:r>
        <w:rPr>
          <w:color w:val="000000"/>
        </w:rPr>
        <w:t xml:space="preserve">” </w:t>
      </w:r>
      <w:r>
        <w:rPr>
          <w:rFonts w:ascii="Times New Roman;serif" w:hAnsi="Times New Roman;serif"/>
          <w:b w:val="false"/>
          <w:color w:val="000000"/>
          <w:sz w:val="24"/>
        </w:rPr>
        <w:t>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Ten Percent Owner”</w:t>
      </w:r>
      <w:r>
        <w:rPr>
          <w:color w:val="000000"/>
        </w:rPr>
        <w:t xml:space="preserve"> </w:t>
      </w:r>
      <w:r>
        <w:rPr>
          <w:rFonts w:ascii="Times New Roman;serif" w:hAnsi="Times New Roman;serif"/>
          <w:b w:val="false"/>
          <w:color w:val="000000"/>
          <w:sz w:val="24"/>
        </w:rPr>
        <w:t xml:space="preserve">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Stock Award”</w:t>
      </w:r>
      <w:r>
        <w:rPr>
          <w:color w:val="000000"/>
        </w:rPr>
        <w:t xml:space="preserve"> </w:t>
      </w:r>
      <w:r>
        <w:rPr>
          <w:rFonts w:ascii="Times New Roman;serif" w:hAnsi="Times New Roman;serif"/>
          <w:b w:val="false"/>
          <w:color w:val="000000"/>
          <w:sz w:val="24"/>
        </w:rPr>
        <w:t>means an Award of shares of Stock free of any restrictions.</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ADMINISTRATION OF PLAN; ADMINISTRATOR AUTHORITY TO SELECT</w:t>
      </w:r>
      <w:r>
        <w:rPr>
          <w:color w:val="000000"/>
        </w:rPr>
        <w:t xml:space="preserve"> </w:t>
      </w:r>
      <w:r>
        <w:rPr>
          <w:rFonts w:ascii="Times New Roman;serif" w:hAnsi="Times New Roman;serif"/>
          <w:b w:val="false"/>
          <w:color w:val="000000"/>
          <w:sz w:val="24"/>
          <w:u w:val="single"/>
        </w:rPr>
        <w:t>GRANTEES AND DETERMINE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Administration of Plan</w:t>
      </w:r>
      <w:r>
        <w:rPr>
          <w:rFonts w:ascii="Times New Roman;serif" w:hAnsi="Times New Roman;serif"/>
          <w:b w:val="false"/>
          <w:color w:val="000000"/>
          <w:sz w:val="24"/>
        </w:rPr>
        <w:t>. The Plan shall be administered by the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Powers of Administrator</w:t>
      </w:r>
      <w:r>
        <w:rPr>
          <w:rFonts w:ascii="Times New Roman;serif" w:hAnsi="Times New Roman;serif"/>
          <w:b w:val="false"/>
          <w:color w:val="000000"/>
          <w:sz w:val="24"/>
        </w:rPr>
        <w:t>. The Administrator shall have the power and authority to grant Awards consistent with the terms of the Plan, including the power and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select the individuals to whom Awards may from time to time be granted;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to determine the number of shares of Stock to be covered by any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to determine and modify from time to time the terms and conditions, including restrictions, not inconsistent with the terms of the Plan, of any Award, which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conditions may differ among individual Awards and grantees, and to approve the forms of Award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to accelerate at any time the exercisability or vesting of all or any portion of any Award;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subject to the provisions of Section 5(c) or 6(d), as applicable, to extend at any time the period in which Stock Options or Stock Appreciation Rights, respectively, may be exercised;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decisions and interpretations of the Administrator shall be binding on all persons, including the Company and Plan grantees.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Delegation of Authority to Grant Awards</w:t>
      </w:r>
      <w:r>
        <w:rPr>
          <w:rFonts w:ascii="Times New Roman;serif" w:hAnsi="Times New Roman;serif"/>
          <w:b w:val="false"/>
          <w:color w:val="000000"/>
          <w:sz w:val="24"/>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Award Agreement</w:t>
      </w:r>
      <w:r>
        <w:rPr>
          <w:rFonts w:ascii="Times New Roman;serif" w:hAnsi="Times New Roman;serif"/>
          <w:b w:val="false"/>
          <w:color w:val="000000"/>
          <w:sz w:val="24"/>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Non-U.S. Award Recipients</w:t>
      </w:r>
      <w:r>
        <w:rPr>
          <w:rFonts w:ascii="Times New Roman;serif" w:hAnsi="Times New Roman;serif"/>
          <w:b w:val="false"/>
          <w:color w:val="000000"/>
          <w:sz w:val="24"/>
        </w:rPr>
        <w:t>.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or facilitate compliance,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w:t>
      </w:r>
      <w:r>
        <w:rPr>
          <w:color w:val="000000"/>
        </w:rPr>
        <w:t xml:space="preserve"> </w:t>
      </w:r>
      <w:r>
        <w:rPr>
          <w:rFonts w:ascii="Times New Roman;serif" w:hAnsi="Times New Roman;serif"/>
          <w:b w:val="false"/>
          <w:color w:val="000000"/>
          <w:sz w:val="24"/>
        </w:rPr>
        <w:t>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STOCK ISSUABLE UNDER THE PLAN; MERGERS; SUBSTITUTION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Issuable</w:t>
      </w:r>
      <w:r>
        <w:rPr>
          <w:rFonts w:ascii="Times New Roman;serif" w:hAnsi="Times New Roman;serif"/>
          <w:b w:val="false"/>
          <w:color w:val="000000"/>
          <w:sz w:val="24"/>
        </w:rPr>
        <w:t xml:space="preserve">. The maximum number of shares of Stock reserved and available for issuance under the Plan shall be 8,742,802 shares plus the 3,602,605 shares of Series A Common Stock remaining available for issuance under the Covalent Group, Inc.’s 2019 Equity Incentive Plan, as amended from time to time (the “2019 Plan”) on the Effective Date (collectively, the “Initial Limit”), plus on January 1, 2026 and on each January 1 thereafter, the number of shares of Stock reserved and available for issuance under the Plan shall automatically be cumulatively increased by (i) 3 percent of the number of shares of Series A Common Stock and Series B Common Stock issued and outstanding on the immediately preceding December 31 (on an as converted to Series A Common Stock basis), or (ii) such lesser number of shares as approved by the Administrator, in all cases subject to adjustment as provided in Section 3(c) (the “Annual Increase”). Subject to such overall limitation, the maximum aggregate number of shares of Stock that may be issued in the form of Incentive Stock Options shall not exceed the Initial Limit cumulatively increased on January 1, 2026 and on each January 1 thereafter by the lesser of the Annual Increase for such year or 12,345,407 shares of Stock, subject in all cases to adjustment as provided in Section 3(c). For purposes of this limitation, the shares of Stock underlying any awards under the Plan and the 2019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any type or types of Award.</w:t>
      </w:r>
      <w:r>
        <w:rPr>
          <w:color w:val="000000"/>
        </w:rPr>
        <w:t> </w:t>
      </w:r>
      <w:r>
        <w:rPr>
          <w:rFonts w:ascii="Times New Roman;serif" w:hAnsi="Times New Roman;serif"/>
          <w:b w:val="false"/>
          <w:color w:val="000000"/>
          <w:sz w:val="24"/>
        </w:rPr>
        <w:t xml:space="preserve">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Maximum Awards to Non-Employee Directors</w:t>
      </w:r>
      <w:r>
        <w:rPr>
          <w:rFonts w:ascii="Times New Roman;serif" w:hAnsi="Times New Roman;serif"/>
          <w:b w:val="false"/>
          <w:color w:val="000000"/>
          <w:sz w:val="24"/>
        </w:rPr>
        <w:t>. Notwithstanding anything to the contrary in this Plan, the aggregate value of all Awards awarded under this Plan and all other cash compensation paid by the Company to any Non-Employee Director for services as a Non-Employee Director in any calendar year shall not exceed $750,000; provided, however, that in the first calendar year in which an individual becomes a Non-Employee Director, the aggregate value of all Awards awarded under this Plan and all other cash compensation paid by the Company to such Non-Employee Director for services as a Non-Employee Director shall not exceed $1,000,000. For the purpose of this limitation, the value of any Award shall be its grant date fair value, as determined in accordance with FASB ASC Topic 718 or successor provision but excluding the impact of estimated forfeitures related to service-based vesting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Changes in Stock</w:t>
      </w:r>
      <w:r>
        <w:rPr>
          <w:rFonts w:ascii="Times New Roman;serif" w:hAnsi="Times New Roman;serif"/>
          <w:b w:val="false"/>
          <w:color w:val="000000"/>
          <w:sz w:val="24"/>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Mergers and Other Transactions</w:t>
      </w:r>
      <w:r>
        <w:rPr>
          <w:rFonts w:ascii="Times New Roman;serif" w:hAnsi="Times New Roman;serif"/>
          <w:b w:val="false"/>
          <w:color w:val="000000"/>
          <w:sz w:val="24"/>
        </w:rPr>
        <w:t xml:space="preserve">. In the case of and subject to the consummation of a Sale Event, the parties thereto may cause the assumption or continuation of Awards theretofore granted by the successor entity, or the substitution of such Awards with new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w:t>
      </w:r>
      <w:r>
        <w:rPr>
          <w:color w:val="000000"/>
        </w:rPr>
        <w:t xml:space="preserve"> </w:t>
      </w:r>
      <w:r>
        <w:rPr>
          <w:rFonts w:ascii="Times New Roman;serif" w:hAnsi="Times New Roman;serif"/>
          <w:b w:val="false"/>
          <w:color w:val="000000"/>
          <w:sz w:val="24"/>
        </w:rPr>
        <w:t>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an amount equal to the Sale Price multiplied by the number of vested shares of Stock under such Awards (after taking into account any acceleration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Substitute Awards</w:t>
      </w:r>
      <w:r>
        <w:rPr>
          <w:rFonts w:ascii="Times New Roman;serif" w:hAnsi="Times New Roman;serif"/>
          <w:b w:val="false"/>
          <w:color w:val="000000"/>
          <w:sz w:val="24"/>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provided that Awards using such available shares shall not be made after the date awards or grants could have been made under the terms of the pre-existing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plan, absent the acquisition or combination, and shall only be made to individuals who were not employees or directors prior to such acquisition or combination.</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STOCK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Options</w:t>
      </w:r>
      <w:r>
        <w:rPr>
          <w:rFonts w:ascii="Times New Roman;serif" w:hAnsi="Times New Roman;serif"/>
          <w:b w:val="false"/>
          <w:color w:val="000000"/>
          <w:sz w:val="24"/>
        </w:rPr>
        <w:t>. 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Option Term</w:t>
      </w:r>
      <w:r>
        <w:rPr>
          <w:rFonts w:ascii="Times New Roman;serif" w:hAnsi="Times New Roman;serif"/>
          <w:b w:val="false"/>
          <w:color w:val="000000"/>
          <w:sz w:val="24"/>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 Rights of a Stockholder</w:t>
      </w:r>
      <w:r>
        <w:rPr>
          <w:rFonts w:ascii="Times New Roman;serif" w:hAnsi="Times New Roman;serif"/>
          <w:b w:val="false"/>
          <w:color w:val="000000"/>
          <w:sz w:val="24"/>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In cash, by certified or bank check or other instrument acceptable to the Administrator;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Annual Limit on Incentive Stock Options</w:t>
      </w:r>
      <w:r>
        <w:rPr>
          <w:rFonts w:ascii="Times New Roman;serif" w:hAnsi="Times New Roman;serif"/>
          <w:b w:val="false"/>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Appreciation Rights</w:t>
      </w:r>
      <w:r>
        <w:rPr>
          <w:rFonts w:ascii="Times New Roman;serif" w:hAnsi="Times New Roman;serif"/>
          <w:b w:val="false"/>
          <w:color w:val="000000"/>
          <w:sz w:val="24"/>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 of Stock Appreciation Rights</w:t>
      </w:r>
      <w:r>
        <w:rPr>
          <w:rFonts w:ascii="Times New Roman;serif" w:hAnsi="Times New Roman;serif"/>
          <w:b w:val="false"/>
          <w:color w:val="000000"/>
          <w:sz w:val="24"/>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Grant and Exercise of Stock Appreciation Rights</w:t>
      </w:r>
      <w:r>
        <w:rPr>
          <w:rFonts w:ascii="Times New Roman;serif" w:hAnsi="Times New Roman;serif"/>
          <w:b w:val="false"/>
          <w:color w:val="000000"/>
          <w:sz w:val="24"/>
        </w:rPr>
        <w:t>. Stock Appreciation Rights may be granted by the Administrator independently of any Stock Option granted pursuant to Section 5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Terms and Conditions of Stock Appreciation Rights</w:t>
      </w:r>
      <w:r>
        <w:rPr>
          <w:rFonts w:ascii="Times New Roman;serif" w:hAnsi="Times New Roman;serif"/>
          <w:b w:val="false"/>
          <w:color w:val="000000"/>
          <w:sz w:val="24"/>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RESTRICTED STOCK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Awards</w:t>
      </w:r>
      <w:r>
        <w:rPr>
          <w:rFonts w:ascii="Times New Roman;serif" w:hAnsi="Times New Roman;serif"/>
          <w:b w:val="false"/>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Restrictions</w:t>
      </w:r>
      <w:r>
        <w:rPr>
          <w:rFonts w:ascii="Times New Roman;serif" w:hAnsi="Times New Roman;serif"/>
          <w:b w:val="false"/>
          <w:color w:val="000000"/>
          <w:sz w:val="24"/>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Vesting of Restricted Shares</w:t>
      </w:r>
      <w:r>
        <w:rPr>
          <w:rFonts w:ascii="Times New Roman;serif" w:hAnsi="Times New Roman;serif"/>
          <w:b w:val="false"/>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Units</w:t>
      </w:r>
      <w:r>
        <w:rPr>
          <w:rFonts w:ascii="Times New Roman;serif" w:hAnsi="Times New Roman;serif"/>
          <w:b w:val="false"/>
          <w:color w:val="000000"/>
          <w:sz w:val="24"/>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Awards and grantees.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Election to Receive Restricted Stock Units in Lieu of Compensation</w:t>
      </w:r>
      <w:r>
        <w:rPr>
          <w:rFonts w:ascii="Times New Roman;serif" w:hAnsi="Times New Roman;serif"/>
          <w:b w:val="false"/>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UNRESTRICTED STOCK AWARDS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Grant or Sale of Unrestricted Stock</w:t>
      </w:r>
      <w:r>
        <w:rPr>
          <w:rFonts w:ascii="Times New Roman;serif" w:hAnsi="Times New Roman;serif"/>
          <w:b w:val="false"/>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CASH-BASED AWARDS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Grant of Cash-Based Awards</w:t>
      </w:r>
      <w:r>
        <w:rPr>
          <w:rFonts w:ascii="Times New Roman;serif" w:hAnsi="Times New Roman;serif"/>
          <w:b w:val="false"/>
          <w:color w:val="000000"/>
          <w:sz w:val="24"/>
        </w:rPr>
        <w:t xml:space="preserve">.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DIVIDEND EQUIVALENT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Dividend Equivalent Rights</w:t>
      </w:r>
      <w:r>
        <w:rPr>
          <w:rFonts w:ascii="Times New Roman;serif" w:hAnsi="Times New Roman;serif"/>
          <w:b w:val="false"/>
          <w:color w:val="000000"/>
          <w:sz w:val="24"/>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TRANSFERABILITY OF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Administrator Action</w:t>
      </w:r>
      <w:r>
        <w:rPr>
          <w:rFonts w:ascii="Times New Roman;serif" w:hAnsi="Times New Roman;serif"/>
          <w:b w:val="false"/>
          <w:color w:val="000000"/>
          <w:sz w:val="24"/>
        </w:rPr>
        <w:t xml:space="preserve">. Notwithstanding Section 12(a), the Administrator, in its discretion, may provide either in the Award Agreement regarding a given Award or by subsequent written approval that the grantee may transfer his or her Non-Qualified Stock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Family Member</w:t>
      </w:r>
      <w:r>
        <w:rPr>
          <w:rFonts w:ascii="Times New Roman;serif" w:hAnsi="Times New Roman;serif"/>
          <w:b w:val="false"/>
          <w:color w:val="000000"/>
          <w:sz w:val="24"/>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by Grantee</w:t>
      </w:r>
      <w:r>
        <w:rPr>
          <w:rFonts w:ascii="Times New Roman;serif" w:hAnsi="Times New Roman;serif"/>
          <w:b w:val="false"/>
          <w:color w:val="000000"/>
          <w:sz w:val="24"/>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in Stock</w:t>
      </w:r>
      <w:r>
        <w:rPr>
          <w:rFonts w:ascii="Times New Roman;serif" w:hAnsi="Times New Roman;serif"/>
          <w:b w:val="false"/>
          <w:color w:val="000000"/>
          <w:sz w:val="24"/>
        </w:rPr>
        <w:t xml:space="preserve">.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determined in the same manner as the value of Stock includible in income of the grantees. The Company may adopt policies and procedures, in consultation with the Company’s tax accountants and legal advisors, to determine the Fair Market Value of the shares solely for purposes of withholding and reporting taxes related to Awards granted under the Plan.The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 </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SECTION 409A AWARDS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w:t>
      </w:r>
    </w:p>
    <w:p>
      <w:pPr>
        <w:pStyle w:val="TextBody"/>
        <w:bidi w:val="0"/>
        <w:spacing w:lineRule="auto" w:line="288" w:before="0" w:after="240"/>
        <w:ind w:left="0" w:right="0" w:hanging="1541"/>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TERMINATION OF SERVICE RELATIONSHIP, TRANSFER, LEAVE OF</w:t>
      </w:r>
      <w:r>
        <w:rPr>
          <w:color w:val="000000"/>
        </w:rPr>
        <w:t xml:space="preserve"> </w:t>
      </w:r>
      <w:r>
        <w:rPr>
          <w:rFonts w:ascii="Times New Roman;serif" w:hAnsi="Times New Roman;serif"/>
          <w:b w:val="false"/>
          <w:color w:val="000000"/>
          <w:sz w:val="24"/>
          <w:u w:val="single"/>
        </w:rPr>
        <w:t>ABSENCE, ETC</w:t>
      </w:r>
      <w:r>
        <w:rPr>
          <w:rFonts w:ascii="Arial;sans-serif" w:hAnsi="Arial;sans-serif"/>
          <w:b w:val="false"/>
          <w:color w:val="000000"/>
          <w:sz w:val="24"/>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For purposes of the Plan, the following events shall not be deemed a termination of a Service Relationship:</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 transfer to the Service Relationship of the Company from an Affiliate or from the Company to an Affiliate, or from one Affiliate to another;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an approved leave of absence for military service or sickness, or for any other purpose approved by the Company or its Affiliates, as the case may be, if the employee’s right to re-employment is guaranteed either by a statute or by contract or under the policy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which the leave of absence was granted or if the Administrator otherwise so provides in writing;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the transfer in status from one eligibility category under Section 4 hereof to another category.</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AMENDMENTS AND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without stockholder approval, to exercise its discretion to reduce the exercise price of outstanding Stock Options or Stock Appreciation Rights, or effect the repricing of such Awards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STATUS OF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GENERAL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Distribution</w:t>
      </w:r>
      <w:r>
        <w:rPr>
          <w:rFonts w:ascii="Times New Roman;serif" w:hAnsi="Times New Roman;serif"/>
          <w:b w:val="false"/>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Issuance of Stock</w:t>
      </w:r>
      <w:r>
        <w:rPr>
          <w:rFonts w:ascii="Times New Roman;serif" w:hAnsi="Times New Roman;serif"/>
          <w:b w:val="false"/>
          <w:color w:val="000000"/>
          <w:sz w:val="24"/>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or any Affiliate.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or any Affiliate, notice of issuance and recorded the issuance in its records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Stockholder Rights</w:t>
      </w:r>
      <w:r>
        <w:rPr>
          <w:rFonts w:ascii="Times New Roman;serif" w:hAnsi="Times New Roman;serif"/>
          <w:b w:val="false"/>
          <w:color w:val="000000"/>
          <w:sz w:val="24"/>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Incentive Arrangements; No Rights to Continued Service Relationship</w:t>
      </w:r>
      <w:r>
        <w:rPr>
          <w:rFonts w:ascii="Times New Roman;serif" w:hAnsi="Times New Roman;serif"/>
          <w:b w:val="false"/>
          <w:color w:val="000000"/>
          <w:sz w:val="24"/>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Trading Policy Restrictions</w:t>
      </w:r>
      <w:r>
        <w:rPr>
          <w:rFonts w:ascii="Times New Roman;serif" w:hAnsi="Times New Roman;serif"/>
          <w:b w:val="false"/>
          <w:color w:val="000000"/>
          <w:sz w:val="24"/>
        </w:rPr>
        <w:t>. Option and Stock Appreciation Right exercises and other Awards under the Plan shall be subject to the Company’s insider trading policies and procedures, as in effect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EFFECTIVE DATE OF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shall become effective upon the date immediately preceding the Registration Date subject to prior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pStyle w:val="TextBody"/>
        <w:bidi w:val="0"/>
        <w:spacing w:lineRule="auto" w:line="288" w:before="0" w:after="240"/>
        <w:ind w:left="0" w:right="0" w:hanging="1440"/>
        <w:jc w:val="both"/>
        <w:rPr/>
      </w:pPr>
      <w:r>
        <w:rPr>
          <w:rFonts w:ascii="Times New Roman;serif" w:hAnsi="Times New Roman;serif"/>
          <w:b w:val="false"/>
          <w:color w:val="000000"/>
          <w:sz w:val="24"/>
        </w:rPr>
        <w:t xml:space="preserve">SECTION 20. </w:t>
      </w:r>
      <w:r>
        <w:rPr>
          <w:rFonts w:ascii="Times New Roman;serif" w:hAnsi="Times New Roman;serif"/>
          <w:b w:val="false"/>
          <w:color w:val="000000"/>
          <w:sz w:val="24"/>
          <w:u w:val="single"/>
        </w:rPr>
        <w:t>GOVERNING LAW</w: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APPROVED BY BOARD OF DIRECTORS: September 9,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APPROVED BY STOCKHOLDERS: September 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INCENTIVE STOCK OPTION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8894" w:type="dxa"/>
        <w:jc w:val="left"/>
        <w:tblInd w:w="0" w:type="dxa"/>
        <w:tblLayout w:type="fixed"/>
        <w:tblCellMar>
          <w:top w:w="28" w:type="dxa"/>
          <w:left w:w="28" w:type="dxa"/>
          <w:bottom w:w="28" w:type="dxa"/>
          <w:right w:w="28" w:type="dxa"/>
        </w:tblCellMar>
      </w:tblPr>
      <w:tblGrid>
        <w:gridCol w:w="1163"/>
        <w:gridCol w:w="1020"/>
        <w:gridCol w:w="1026"/>
        <w:gridCol w:w="604"/>
        <w:gridCol w:w="604"/>
        <w:gridCol w:w="604"/>
        <w:gridCol w:w="604"/>
        <w:gridCol w:w="604"/>
        <w:gridCol w:w="604"/>
        <w:gridCol w:w="604"/>
        <w:gridCol w:w="604"/>
        <w:gridCol w:w="853"/>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of Optionee: </w:t>
            </w:r>
          </w:p>
        </w:tc>
        <w:tc>
          <w:tcPr>
            <w:tcW w:w="36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36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[FMV on Grant Date (110% of FMV if a 10% owner)]</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6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362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[up to 10 years (5 if a 10% owner)]</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to the Optionee named above an option (the “Stock Option”) to purchase on or prior to the Expiration Date specified above all or part of the number of shares of Series A Common Stock, par value $0.001 per share (the “Stock”), of the Company specified above at the Option Exercise Price per Share specified above subject to the terms and conditions set forth herein (including the terms and conditions for the Optionee’s country in the appendix attached hereto as Appendix A) and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 so long as the Optionee continues to have a Service Relationship with the Company or a Subsidiary on such dates.</w:t>
      </w:r>
    </w:p>
    <w:tbl>
      <w:tblPr>
        <w:tblW w:w="5674" w:type="dxa"/>
        <w:jc w:val="left"/>
        <w:tblInd w:w="0" w:type="dxa"/>
        <w:tblLayout w:type="fixed"/>
        <w:tblCellMar>
          <w:top w:w="28" w:type="dxa"/>
          <w:left w:w="28" w:type="dxa"/>
          <w:bottom w:w="28" w:type="dxa"/>
          <w:right w:w="28" w:type="dxa"/>
        </w:tblCellMar>
      </w:tblPr>
      <w:tblGrid>
        <w:gridCol w:w="124"/>
        <w:gridCol w:w="109"/>
        <w:gridCol w:w="109"/>
        <w:gridCol w:w="909"/>
        <w:gridCol w:w="909"/>
        <w:gridCol w:w="911"/>
        <w:gridCol w:w="109"/>
        <w:gridCol w:w="109"/>
        <w:gridCol w:w="109"/>
        <w:gridCol w:w="634"/>
        <w:gridCol w:w="634"/>
        <w:gridCol w:w="6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240"/>
              <w:jc w:val="center"/>
              <w:rPr/>
            </w:pPr>
            <w:r>
              <w:rPr>
                <w:rFonts w:ascii="Times New Roman;serif" w:hAnsi="Times New Roman;serif"/>
                <w:b w:val="false"/>
                <w:color w:val="000000"/>
                <w:sz w:val="24"/>
                <w:u w:val="single"/>
              </w:rPr>
              <w:t>Option Shares Exercisable</w:t>
            </w: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Max. of $100,000 per yr.</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Optionee’s Service Relationship with the Company or a Subsidiary (as defined in the Plan) is terminated, the period within which to exercise the Stock Option may be subject to earlier termination as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Service Relationship with the Company or a Subsidiary terminates for Cause, any portion of this Stock Option outstanding on such date shall terminate immediately and be of no further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 and Country Appendix.</w:t>
      </w:r>
      <w:r>
        <w:rPr>
          <w:color w:val="000000"/>
        </w:rPr>
        <w:t xml:space="preserve"> </w:t>
      </w:r>
      <w:r>
        <w:rPr>
          <w:rFonts w:ascii="Times New Roman;serif" w:hAnsi="Times New Roman;serif"/>
          <w:b w:val="false"/>
          <w:color w:val="000000"/>
          <w:sz w:val="24"/>
        </w:rPr>
        <w:t>Notwithstanding anything herein to the contrary, this Stock Option shall be subject to and governed by all the terms and conditions of the Plan, including the powers of the Administrator set forth in Section 2(b) of the Plan, and any additional terms and conditions for the Optionee’s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Status of the Stock Option</w:t>
      </w:r>
      <w:r>
        <w:rPr>
          <w:rFonts w:ascii="Times New Roman;serif" w:hAnsi="Times New Roman;serif"/>
          <w:b w:val="false"/>
          <w:color w:val="000000"/>
          <w:sz w:val="24"/>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serif" w:hAnsi="Times New Roman;serif"/>
          <w:b/>
          <w:i/>
          <w:color w:val="000000"/>
          <w:sz w:val="24"/>
        </w:rPr>
        <w:t>this Stock Option must be exercised within three (3) months after termination of employment as an employee (or twelve (12) months in the case of death or Disability) to qualify as an “incentive stock option</w:t>
      </w:r>
      <w:r>
        <w:rPr>
          <w:color w:val="000000"/>
        </w:rPr>
        <w:t>”</w:t>
      </w:r>
      <w:r>
        <w:rPr>
          <w:rFonts w:ascii="Times New Roman;serif" w:hAnsi="Times New Roman;serif"/>
          <w:b w:val="false"/>
          <w:color w:val="000000"/>
          <w:sz w:val="24"/>
        </w:rPr>
        <w:t>.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Stock Option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Clawback Acknowledgement</w:t>
      </w:r>
      <w:r>
        <w:rPr>
          <w:rFonts w:ascii="Times New Roman;serif" w:hAnsi="Times New Roman;serif"/>
          <w:b w:val="false"/>
          <w:color w:val="000000"/>
          <w:sz w:val="24"/>
        </w:rPr>
        <w:t xml:space="preserve">. The Optionee acknowledges that the Optionee may become subject to the Pattern Group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Company’s Executive Severance Plan, as amended from time to time) or serve as a basis for a claim of constructive termination under any benefits or compensation arrangement applicable to the Optionee, or (ii) to constitute a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contract or other arrangement to which the Optionee is a party. This Section 12 is a material term of this Agreement.</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tbl>
      <w:tblPr>
        <w:tblW w:w="438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73"/>
        <w:gridCol w:w="873"/>
        <w:gridCol w:w="123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INCENTIVE STOCK OPTION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Incentive Stock Option Agreement (the “Award Agreement”) or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This Appendix includes additional terms and conditions that govern the Stock Option if the Optionee resides and/or works in one of the countries listed below. If the Optionee is a citizen or resident (or is considered as such for local law purposes) of a country other than the country in which the Optionee is currently residing and/or working, or if the Optionee transfers to another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country after the Grant Date, the Administrator shall, in its discretion, determine to what extent the terms and conditions contained herein shall be applicable to the Optionee.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Optionee should be aware with respect to the Optionee’s participation in the Plan. Such laws are often complex and change frequently. As a result, the Company strongly recommends that the Optionee not rely on the information contained herein as the only source of information relating to the consequences of the Optionee’s participation in the Plan because the information may be out of date at a relevant time. 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the Optionee’s individual situation.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Optionee is a citizen or resident (or is considered as such for local law purposes) of a country other than the country in which the Optionee is currently residing and/or working, or if the Optionee transfers to another country after the Grant Date, the notifications contained herein may not be applicable to the Optionee in the same manner.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Optionees in Australia.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13: SECURITIES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Stock Options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Optionee in connection with this grant is provided on the basis that the Optionee is a person to whom an offer of 'securities' and 'derivatives' may be made without a disclosure document (as those terms are defined in the Corporations Act). If the Optionee acquires Stock under the Plan on exercise of Stock Options and offers the Stock to a person or entity resident in Australia, the offer may be subject to disclosure requirements under Australian law. The Optionee should consult with his or her legal adviser before making any such offer in Australia.</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xml:space="preserve">.    It is important that the Optionee read all the documents given to the Optionee in relation to the Plan (including this Agreement) before deciding whether to participate in the Plan. In particular, the Optionee should satisfy themselves that they have a sufficient understanding of the risks involved in acquiring the Stock Options granted to them (and any Stock that may be issued on settlement of the grant) and consider if participation in the grant of Stock Options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Stock that may be issued on settlement of the grant) is suitable for the Optionee, having regard to the Optionee’s investment objectives, financial circumstances and taxation position.</w:t>
      </w:r>
    </w:p>
    <w:p>
      <w:pPr>
        <w:pStyle w:val="TextBody"/>
        <w:bidi w:val="0"/>
        <w:spacing w:lineRule="auto" w:line="288" w:before="0" w:after="24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(i)constitutes financial product advice and any advice or information provided by the Company in relation to this grant does not take into account the Optionee’s objectives, financial situation or needs; and</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(ii)should be taken to constitute a recommendation or statement of opinion that is intended to influence the Optionee in making a decision to participate in the Plan or participate in the grant of Stock Options (or Stock issued on exercise of the Stock Options).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The Optionee acknowledges and agrees that a copy of the Plan has been provided to the Optionee concurrently with this Agreement.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14: TAXES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Optionee is strongly advised to consult with their personal tax advisor regarding the taxation of their Stock Options and of any subsequent sale of the Stock acquired on exercise of their Stock Options. The Company has reporting obligations to the Australian Taxation Office, and the Optionee is responsible for disclosing any taxable discount, in respect of any grant of Stock Options made under the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CANADA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 xml:space="preserve">The rules of the Award Agreement apply in Canada with and subject to the following amendments and provisions for Optionees in Canada, which for greater certainty shall include those Optionees that are residents of Canada for purposes of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(Canada) (the “</w:t>
      </w:r>
      <w:r>
        <w:rPr>
          <w:rFonts w:ascii="Times New Roman;serif" w:hAnsi="Times New Roman;serif"/>
          <w:b/>
          <w:color w:val="000000"/>
          <w:sz w:val="24"/>
        </w:rPr>
        <w:t>Tax Act</w:t>
      </w:r>
      <w:r>
        <w:rPr>
          <w:color w:val="000000"/>
        </w:rPr>
        <w:t>”</w:t>
      </w:r>
      <w:r>
        <w:rPr>
          <w:rFonts w:ascii="Times New Roman;serif" w:hAnsi="Times New Roman;serif"/>
          <w:b w:val="false"/>
          <w:color w:val="000000"/>
          <w:sz w:val="24"/>
        </w:rPr>
        <w:t>) or are otherwise subject to tax in Canada by virtue of their employment (“</w:t>
      </w:r>
      <w:r>
        <w:rPr>
          <w:rFonts w:ascii="Times New Roman;serif" w:hAnsi="Times New Roman;serif"/>
          <w:b/>
          <w:color w:val="000000"/>
          <w:sz w:val="24"/>
        </w:rPr>
        <w:t>Canadian Employees</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3: TERMINATION OF SERVICE RELATIONSHIP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Add the following at the end of the paragraph following Section 3(d):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the Plan and the Agreement, including but not limited to Section 3 of the Agreement, “date of termination” means the later of: (i) the Optionee’s last day of providing services to or performing work with the Company (or Subsidiary as defined in the Plan); or (ii) the last day of any minimum statutory notice period (if applicable). For clarity, except the applicable minimum statutory notice period, no period of notice which may be required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contract or common law shall be included for purposes of determining the date of termination. Further the Stock Options are not part of normal or expected compensation or salary for any purposes, including, but not limited to, calculating any severance, resignation, termination, redundancy, end of service payments, bonuses, long-service awards, pension or retirement or welfare benefits or similar payments (or damages in lieu of same) and in no event should be considered as compensation for, or relating in any way to, past services for the Company or a Subsidiary.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For purposes of Section 3(c) of the Agreement, “Cause” shall mean circumstances where the termination of employment is due to wilful misconduct, disobedience or wilful neglect of duty that is not trivial and has not been condoned by the Company or a Subsidiary.</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7: TAX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7 will be deleted and replaced with the following: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 Withholding.</w:t>
      </w:r>
      <w:r>
        <w:rPr>
          <w:color w:val="000000"/>
        </w:rPr>
        <w:t xml:space="preserve"> </w:t>
      </w:r>
      <w:r>
        <w:rPr>
          <w:rFonts w:ascii="Times New Roman;serif" w:hAnsi="Times New Roman;serif"/>
          <w:b w:val="false"/>
          <w:color w:val="000000"/>
          <w:sz w:val="24"/>
        </w:rPr>
        <w:t>The Optionee shall, not later than the date as of which the exercise of this Stock Option becomes a taxable event for income tax purposes, pay to the Company or make arrangements satisfactory to the Administrator for payment of any Applicable Withholding Taxes required by law to be withheld on account of such taxable event. The Optionee hereby directs the Company to cause the required Applicable Withholding Tax obligation to be satisfied, in whole or in part, by causing its transfer agent to sell from the number of shares of Stock to be issued to the Optionee, the number of shares of Stock necessary to satisfy the Applicable Withholding Taxes required by law to be withheld from the Optionee on account of such transfer or exercise.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CHINA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Optionees in China.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7: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 will be deleted and replaced with the following:</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The Optionee shall, not later than the date as of which the exercise of this Stock Option becomes a taxable event for U.S. or non-U.S. tax purposes, pay to the Company or any applicable Affiliate (as defined in Section 1 of the Plan) or make arrangements satisfactory to the Administrator for payment of any U.S. and non-U.S. federal, state, local or other taxes of any kind required by law to be withheld on account of such taxable event. The Company and its Affiliates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the number of shares of Stock necessary to satisfy the taxes required by law to be withheld from the Optionee on account of such transfer.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the Czech Republic with and subject to the following amendments and provisions for Optionees in the Czech Republic. All capitalized terms set out herein shall have the same meanings as set out in the Agreement,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Optionee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the Optionee’s personal information including but not limited to name, surname, home address and telephone number, date of birth, remuneration information and other personal information that is necessary for the purposes relating to the fulfilment of the Agreement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whereas the Company shall be the controller in relation to such processing. The purposes include but are not limited to: (a) taking necessary actions pursuant to the Agreement; (b) administering and maintaining the Optionee’s records; (c) providing any required information to other Relevant Companies, trustees or third-party administrators; (d) operating, evaluating and amending the Plan. To the extent allowed by applicable law,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Further conditions of processing of Relevant Information and information about Optionee´s rights in that relation are set out in the Company’s Privacy Policy available at https://www.pattern.com/legal/privacy-policy with which the Optionee became acquainted.</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13: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Optionee reads all the documents given to the Optionee in relation to the Plan (including this Agreement) before deciding whether to participate in the Plan. In particular, the Optionee should satisfy his or herself that they have sufficient understanding of the risks involved and consider if participation in the Plan is suitable for the Optionee, having regard to the Optionee’s investment objectives, financial circumstances and taxation position.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14: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Optionee’s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Optionee in making a decision to participate in the Plan.</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15: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Optionee is strongly advised to consult with their personal tax advisor regarding the tax treatment of their participation on the Plan and of any subsequent transfer of instruments obtained pursuant to this Agreement and the Plan. The Optionee is responsible for proper taxation pursuant to relevant Czech law of any income the Optionee obtains by participating on the Plan including any taxable discount.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INDIA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India with and subject to the following amendments and provisions for Optionees in India.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7: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 will be deleted and replaced with the following:</w:t>
      </w:r>
    </w:p>
    <w:p>
      <w:pPr>
        <w:pStyle w:val="TextBody"/>
        <w:bidi w:val="0"/>
        <w:spacing w:before="0" w:after="0"/>
        <w:jc w:val="both"/>
        <w:rPr/>
      </w:pPr>
      <w:r>
        <w:rPr/>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(b)Optionees who are Indian residents are liable to pay taxes when they receive shares of Common Stock. For the purposes of determining the amount of withholding tax, the fair market value of the shares will be determined by a category - 1 merchant banker duly registered with the Securities and Exchange Board of India (“SEBI”) as on the date of purchase/allotment of securities, as per the prevailing income tax law in India. Optionee hereby agrees to pay taxes by any of the methods prescribed in the Plan on the difference between fair market value and purchase price paid by the Optionee. Optionee shall also be responsible to pay tax on subsequent sale of securities at the applicable rates prevailing at the time of sale. Optionee is also responsible to pay taxes on dividend income at the applicable rates prevailing at the time of declaration/receipt. Neither the Company nor any Subsidiary or Affiliates shall be responsible for the tax payable by Optionee on such subsequent sale. Optionee agrees that it is his/her responsibility to comply with the payment of taxes and compliance requirements and Optionee shall consult his/her personal tax advisor in this regard.</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(c)Optionees who are Indian residents are required to declare any foreign bank accounts and any foreign financial assets in their annual income tax returns (in schedule FA: details of foreign assets and income from source outside India). Optionee is required to mandatorily file the tax returns if he/she has any assets outside India even if his/her income is below the threshold limit prescribed under the income tax law. Optionee shall be responsible for complying with this reporting obligation and should confer with his/her personal tax advisor to determine his/her obligations in this regard.</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SECURITIES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The securities described in the Plan are being offered only to a select number of Optionees who, in respect of this Indian Supplement are employees of Pattern Technologies India Private Limited. Such Optionees may not be acting on behalf of or as an agent for, any other person or entity. Securities under the Plan will not be available for subscription or purchase by any other person or entity.</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The Plan, the Agreement, and any corresponding documents (together, the “</w:t>
      </w:r>
      <w:r>
        <w:rPr>
          <w:rFonts w:ascii="Times New Roman;serif" w:hAnsi="Times New Roman;serif"/>
          <w:b/>
          <w:color w:val="000000"/>
          <w:sz w:val="24"/>
        </w:rPr>
        <w:t>Plan Documents</w:t>
      </w:r>
      <w:r>
        <w:rPr>
          <w:color w:val="000000"/>
        </w:rPr>
        <w:t>”</w:t>
      </w:r>
      <w:r>
        <w:rPr>
          <w:rFonts w:ascii="Times New Roman;serif" w:hAnsi="Times New Roman;serif"/>
          <w:b w:val="false"/>
          <w:color w:val="000000"/>
          <w:sz w:val="24"/>
        </w:rPr>
        <w:t>), have neither been delivered for registration nor are they intended to be registered with any regulatory authorities in India. The Plan Documents are not intended for distribution and are meant solely for the consideration of the person to whom they are addressed and should not be reproduced by Optionee.</w:t>
      </w:r>
    </w:p>
    <w:p>
      <w:pPr>
        <w:pStyle w:val="TextBody"/>
        <w:bidi w:val="0"/>
        <w:spacing w:before="0" w:after="0"/>
        <w:ind w:left="0" w:right="0" w:hanging="270"/>
        <w:jc w:val="both"/>
        <w:rPr/>
      </w:pPr>
      <w:r>
        <w:rPr/>
      </w:r>
    </w:p>
    <w:p>
      <w:pPr>
        <w:pStyle w:val="TextBody"/>
        <w:bidi w:val="0"/>
        <w:spacing w:lineRule="auto" w:line="288"/>
        <w:ind w:left="0" w:right="0" w:hanging="45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The shares issued pursuant to the Plan do not constitute a public offering of securities under the (Indian) Companies Act, 2013 and are available only to those individuals as indicated in the Plan. The Plan Documents do not invite offers from the public for subscription or purchase of the securities of any body corporate under any law for the time being in force in India. The Plan Documents have not been prepared in accordance with and are not intended to constitute a ‘prospectus’ for, a public offering of securities under the applicable companies and securities legislation in India, and the Plan Documents have not been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reviewed by any regulatory authority in India. The Plan Documents are intended only for Optionee’s personal use and not for distribution to any other persons. </w:t>
      </w:r>
    </w:p>
    <w:p>
      <w:pPr>
        <w:pStyle w:val="TextBody"/>
        <w:bidi w:val="0"/>
        <w:spacing w:before="0" w:after="0"/>
        <w:ind w:left="0" w:right="0" w:hanging="270"/>
        <w:jc w:val="both"/>
        <w:rPr/>
      </w:pPr>
      <w:r>
        <w:rPr/>
      </w:r>
    </w:p>
    <w:p>
      <w:pPr>
        <w:pStyle w:val="TextBody"/>
        <w:bidi w:val="0"/>
        <w:spacing w:lineRule="auto" w:line="288" w:before="0" w:after="0"/>
        <w:ind w:left="0" w:right="0" w:hanging="450"/>
        <w:jc w:val="both"/>
        <w:rPr/>
      </w:pPr>
      <w:r>
        <w:rPr>
          <w:rFonts w:ascii="Times New Roman;serif" w:hAnsi="Times New Roman;serif"/>
          <w:b w:val="false"/>
          <w:color w:val="000000"/>
          <w:sz w:val="22"/>
        </w:rPr>
        <w:t>(d)</w:t>
      </w:r>
      <w:r>
        <w:rPr>
          <w:rFonts w:ascii="Times New Roman;serif" w:hAnsi="Times New Roman;serif"/>
          <w:b w:val="false"/>
          <w:color w:val="000000"/>
          <w:sz w:val="24"/>
        </w:rPr>
        <w:t>The website on which the Plan Documents are hosted is not a prospectus under the applicable laws for the time being in force in India. The Company or Pattern Technologies India Private Limited do not intend to market, promote, or invite offers for subscription or purchase of the securities of any body corporate by virtue of providing the Optionee with the Plan Documents. The information provided in the Plan Documents is for record purposes only.</w:t>
      </w:r>
    </w:p>
    <w:p>
      <w:pPr>
        <w:pStyle w:val="TextBody"/>
        <w:bidi w:val="0"/>
        <w:spacing w:before="0" w:after="0"/>
        <w:ind w:left="0" w:right="0" w:hanging="270"/>
        <w:jc w:val="both"/>
        <w:rPr/>
      </w:pPr>
      <w:r>
        <w:rPr/>
      </w:r>
    </w:p>
    <w:p>
      <w:pPr>
        <w:pStyle w:val="TextBody"/>
        <w:bidi w:val="0"/>
        <w:spacing w:lineRule="auto" w:line="288" w:before="0" w:after="0"/>
        <w:ind w:left="0" w:right="0" w:hanging="450"/>
        <w:jc w:val="both"/>
        <w:rPr/>
      </w:pPr>
      <w:r>
        <w:rPr>
          <w:rFonts w:ascii="Times New Roman;serif" w:hAnsi="Times New Roman;serif"/>
          <w:b w:val="false"/>
          <w:color w:val="000000"/>
          <w:sz w:val="22"/>
        </w:rPr>
        <w:t>(e)</w:t>
      </w:r>
      <w:r>
        <w:rPr>
          <w:rFonts w:ascii="Times New Roman;serif" w:hAnsi="Times New Roman;serif"/>
          <w:b w:val="false"/>
          <w:color w:val="000000"/>
          <w:sz w:val="24"/>
        </w:rPr>
        <w:t>Any person who subscribes or purchases securities of any body corporate should consult their own investment advisers before making any investments. The Company or Pattern Technologies India Private Limited shall not be liable or responsible for any such investment decision made by any person.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14: EXCHANGE CONTROLS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14: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(a)Optionee shall be solely responsible to comply with all applicable laws including but not limited to the (Indian) Foreign Exchange Management Act, 1999 and the rules and regulations thereunder, in respect of grant, vesting and exercise of the Option and the sale of the shares of Common Stock acquired under the Plan. Optionee shall be required to comply with the applicable laws and requirements for remittance of the monies from India for exercise of the Option. Should the Optionee sell the shares of Common Stock, Optionee acknowledges his/her obligation and agrees to: (i) repatriate to India, any proceeds from the sale of shares of Common Stock (or the receipt of any dividends to India) within 180 days of the date of sale, unless reinvested; and (ii) obtain a foreign inward remittance certificate (“</w:t>
      </w:r>
      <w:r>
        <w:rPr>
          <w:rFonts w:ascii="Times New Roman;serif" w:hAnsi="Times New Roman;serif"/>
          <w:b/>
          <w:color w:val="000000"/>
          <w:sz w:val="24"/>
        </w:rPr>
        <w:t>FIRC</w:t>
      </w:r>
      <w:r>
        <w:rPr>
          <w:color w:val="000000"/>
        </w:rPr>
        <w:t>”</w:t>
      </w:r>
      <w:r>
        <w:rPr>
          <w:rFonts w:ascii="Times New Roman;serif" w:hAnsi="Times New Roman;serif"/>
          <w:b w:val="false"/>
          <w:color w:val="000000"/>
          <w:sz w:val="24"/>
        </w:rPr>
        <w:t>) from the bank in which Optionee deposits the foreign currency and maintain the FIRC as an evidence of the repatriation of funds in the event the Reserve Bank of India (“</w:t>
      </w:r>
      <w:r>
        <w:rPr>
          <w:rFonts w:ascii="Times New Roman;serif" w:hAnsi="Times New Roman;serif"/>
          <w:b/>
          <w:color w:val="000000"/>
          <w:sz w:val="24"/>
        </w:rPr>
        <w:t>RBI</w:t>
      </w:r>
      <w:r>
        <w:rPr>
          <w:color w:val="000000"/>
        </w:rPr>
        <w:t>”</w:t>
      </w:r>
      <w:r>
        <w:rPr>
          <w:rFonts w:ascii="Times New Roman;serif" w:hAnsi="Times New Roman;serif"/>
          <w:b w:val="false"/>
          <w:color w:val="000000"/>
          <w:sz w:val="24"/>
        </w:rPr>
        <w:t>), the Company or Pattern Technologies India Private Limited request for proof of repatriation. It is Optionee’s responsibility to comply with exchange control laws in India including making necessary disclosures to the RBI. The Company and Pattern Technologies India Private Limited shall not be liable for any fines or penalties resulting from Optionee’s failure to comply with any applicable laws.</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(b)In respect of any remittance of the monies from the India by Optionee and in respect of receiving funds for sale of the shares of Common Stock, it is Optionee’s responsibility to comply with the reporting requirements of the RBI, as per exchange control laws in India.</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Japan with and subject to the following amendments and provisions for Optionees in Japan.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limited to the Company’s offices located in the United States. Please refer to https://www.pattern.com/legal/privacy-policy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Singapore with and subject to the following amendments and provisions for Optionees in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Optionee explicitly and unambiguously acknowledges and consents to the collection, use, disclosure and transfer, in electronic or other form, of Optionee’s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xml:space="preserve">) for the exclusive purpose of implementing, administering and managing Optionee’s participation in the Plan, and to implement or structure future equity grants. Optionee understands that the Personal Data may be transferred to any third parties assisting in the implementation, administration and management of the Plan, that these recipients may be located in Optionee’s country or elsewhere,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in particular in the US, and that the recipient country may have different data privacy laws providing less protections of Optionee’s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Optionee may request a list of the names and addresses of any potential recipients of his/her Personal Data by contacting Jed Brunson, the Company’s Chief Information Officer. Optionee acknowledges that the recipients may receive, possess, process, use, retain and transfer the Personal Data, in electronic or other form, for the purposes of implementing, administering and managing Optionee’s participation in the Plan, including any requisite transfer of such Personal Data, as may be required to a broker or other third party with whom Optionee may elect to deposit any Stock acquired upon the vesting of Optionee’s Stock Option. Optionee understands that Personal Data will be held only as long as is necessary to implement, administer and manage Optionee’s participation in the Plan. Optionee understands that the purposes for which Optionee’s Personal Data will be collected or held may continue to apply even in situations where Optionee’s employment with Optionee’s employer has been terminated or altered. Optionee may, at any time, view the Personal Data, request additional information about the storage and processing of the Personal Data, require any necessary amendments to the Personal Data or refuse or withdraw the consents herein, in any case without cost, by contacting Jed Brunson in writing.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13: RESTRICTION ON SALE OF SHARES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Optionee acknowledges and agrees that Stock acquired under the Plan prior to the twelve (12) month anniversary of the Grant Date may not be sold or otherwise offered for sale in Singapore, unless such sale or offer is made (i) more than twelve months after the Grant Date; or (ii) pursuant to the exemptions under Part 13 Division (1) Subdivision (4) (other than section 280) of the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14: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Optionee acknowledges and agrees that the Stock Option is being granted to Optionee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15: CHIEF EXECUTIVE OFFICER AND DIRECTOR NOTIFICATION OBLIGATION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Optionee acknowledges that if Optionee is 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or a director, as defined under the Singapore Companies Act 1967 (“</w:t>
      </w:r>
      <w:r>
        <w:rPr>
          <w:rFonts w:ascii="Times New Roman;serif" w:hAnsi="Times New Roman;serif"/>
          <w:b/>
          <w:color w:val="000000"/>
          <w:sz w:val="24"/>
        </w:rPr>
        <w:t>Singapore Companies Act</w:t>
      </w:r>
      <w:r>
        <w:rPr>
          <w:color w:val="000000"/>
        </w:rPr>
        <w:t>”</w:t>
      </w:r>
      <w:r>
        <w:rPr>
          <w:rFonts w:ascii="Times New Roman;serif" w:hAnsi="Times New Roman;serif"/>
          <w:b w:val="false"/>
          <w:color w:val="000000"/>
          <w:sz w:val="24"/>
        </w:rPr>
        <w:t>) of a Singapore-incorporated subsidiary of the Company (“</w:t>
      </w:r>
      <w:r>
        <w:rPr>
          <w:rFonts w:ascii="Times New Roman;serif" w:hAnsi="Times New Roman;serif"/>
          <w:b/>
          <w:color w:val="000000"/>
          <w:sz w:val="24"/>
        </w:rPr>
        <w:t>Singapore Subsidiary</w:t>
      </w:r>
      <w:r>
        <w:rPr>
          <w:color w:val="000000"/>
        </w:rPr>
        <w:t>”</w:t>
      </w:r>
      <w:r>
        <w:rPr>
          <w:rFonts w:ascii="Times New Roman;serif" w:hAnsi="Times New Roman;serif"/>
          <w:b w:val="false"/>
          <w:color w:val="000000"/>
          <w:sz w:val="24"/>
        </w:rPr>
        <w:t xml:space="preserve">), Optionee is subject to certain disclosure requirements under the Singapore Companies Act. Among these requirements is an obligation to notify the Singapore Subsidiary in writing of any interest in shares, debentures, rights, participatory interests (where Optionee is a director) or options in the Singapore Subsidiary and/or its “related corporation” as defined under the Singapore Companies Act, within two business days of (i) its acquisition or disposal, or (ii) becoming a CEO or a director, whichever is later. In addition, Optionee is also required to notify the Singapore Subsidiary in writing of any change in previously disclosed interest (e.g., when the Stock are sold) within two business days after the occurrence of the event giving rise to the change.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the Republic of Korea with and subject to the following amendments and provisions for Optionees in the Republic of Korea.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Notwithstanding the foregoing, Optionees resident in the Republic of Korea must complete a separate jurisdiction-specific privacy consent form in order to be eligible to participate in the Plan and prior to entering into this Agreement.</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FOREIGN EXCHANGE OBLIGATIONS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u w:val="single"/>
        </w:rPr>
        <w:t>Foreign Exchange Obligations</w:t>
      </w:r>
      <w:r>
        <w:rPr>
          <w:rFonts w:ascii="Times New Roman;serif" w:hAnsi="Times New Roman;serif"/>
          <w:b w:val="false"/>
          <w:color w:val="000000"/>
          <w:sz w:val="24"/>
        </w:rPr>
        <w:t xml:space="preserve">. Should the Optionee be a Korea-resident consultant to Pattern Trading SK or persons or entities who render services to the Company or a Subsidiary or Affiliate thereof as an employee of a third-party staffing agency, professional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organization or employer of record arrangement, they may be obliged to file a securities acquisition report with the Bank of Korea should the aggregate purchase price of Stock Options hereunder be equivalent to US$ 5,000 or more. The preparation and filing of any such report(s) shall be the sole responsibility of the Optionee.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ARAB EMIRATES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The Rules of the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xml:space="preserve">) with and subject to the following amendments and provisions for Optionees in the UAE.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Optionee shall have access to, and the right to change, the Relevant Information. Relevant Information will only be used in accordance with applicable law.</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NATURE OF GRANT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ind w:left="0" w:right="0" w:hanging="720"/>
        <w:jc w:val="both"/>
        <w:rPr/>
      </w:pPr>
      <w:r>
        <w:rPr/>
      </w:r>
    </w:p>
    <w:p>
      <w:pPr>
        <w:pStyle w:val="TextBody"/>
        <w:bidi w:val="0"/>
        <w:spacing w:lineRule="auto" w:line="288"/>
        <w:jc w:val="both"/>
        <w:rPr/>
      </w:pPr>
      <w:r>
        <w:rPr>
          <w:rFonts w:ascii="Times New Roman;serif" w:hAnsi="Times New Roman;serif"/>
          <w:b w:val="false"/>
          <w:color w:val="000000"/>
          <w:sz w:val="24"/>
        </w:rPr>
        <w:t>The Optionee acknowledges that the Stock Options, the Plan, the Agreement, this UAE Supplement and their participation in the Plan does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engaging them, either directly or indirectly. The Optionee acknowledges that the Stock Options and related benefits do not constitute a component of their “wages” for any legal purpose. Therefore, the Stock Options and related benefits will not be included and/or considered for purposes of calculating any and all labour benefits, such as end of service gratuity and/or any other labour-related amounts which may be payable (where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14: SECURITIES LAW INFORMATION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Stock Options are being offered only to eligible employees or consultants of the Company and are in the nature of providing equity incentives to these individuals based in the UAE. The Agreement is intended for distribution only to such eligible individuals and must not be delivered to, or relied on by, any other person. Prospective acquirers of the securities offered should conduct their own due diligence on the securities.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15: DISCLAIMER</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the Agreement,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Optionee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Optionee should, as a prospective stockholder, conduct their own due diligence on the securities. If the Optionee does not understand the contents of the award documentation, they should consult an authorized financial advisor.</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16: GOVERNING LAW AND JURISDICTION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16:</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Stock Option,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Optionee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Optionee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NON-QUALIFIED STOCK OPTION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COMPANY CONSULTANTS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5817" w:type="dxa"/>
        <w:jc w:val="left"/>
        <w:tblInd w:w="0" w:type="dxa"/>
        <w:tblLayout w:type="fixed"/>
        <w:tblCellMar>
          <w:top w:w="28" w:type="dxa"/>
          <w:left w:w="28" w:type="dxa"/>
          <w:bottom w:w="28" w:type="dxa"/>
          <w:right w:w="28" w:type="dxa"/>
        </w:tblCellMar>
      </w:tblPr>
      <w:tblGrid>
        <w:gridCol w:w="1163"/>
        <w:gridCol w:w="1020"/>
        <w:gridCol w:w="1026"/>
        <w:gridCol w:w="277"/>
        <w:gridCol w:w="277"/>
        <w:gridCol w:w="277"/>
        <w:gridCol w:w="277"/>
        <w:gridCol w:w="277"/>
        <w:gridCol w:w="277"/>
        <w:gridCol w:w="277"/>
        <w:gridCol w:w="277"/>
        <w:gridCol w:w="39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of Optionee: </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[FMV on Grant Date]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166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 more than 10 years]</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to the Optionee named above, who is a Consultant of the Company, an option (the “Stock Option”) to purchase on or prior to the Expiration Date specified above all or part of the number of shares of Series A Common Stock, par value $0.001 per share (the “Stock”), of the Company specified above at the Option Exercise Price per Share specified above subject to the terms and conditions set forth herein (including the terms and conditions for the Optionee’s country in the appendix attached hereto as Appendix A) and in the Plan. This Stock Option is not intended to be an “incentive stock option” under Section 422 of the Internal Revenue Code of 1986, as amended.</w:t>
      </w:r>
    </w:p>
    <w:p>
      <w:pPr>
        <w:pStyle w:val="TextBody"/>
        <w:bidi w:val="0"/>
        <w:spacing w:lineRule="auto" w:line="288" w:before="0" w:after="48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__________________________, so long as the Optionee continues to have a Service Relationship with the Company or a Subsidiary on such dates.</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54" w:type="dxa"/>
        <w:jc w:val="left"/>
        <w:tblInd w:w="0" w:type="dxa"/>
        <w:tblLayout w:type="fixed"/>
        <w:tblCellMar>
          <w:top w:w="28" w:type="dxa"/>
          <w:left w:w="28" w:type="dxa"/>
          <w:bottom w:w="28" w:type="dxa"/>
          <w:right w:w="28" w:type="dxa"/>
        </w:tblCellMar>
      </w:tblPr>
      <w:tblGrid>
        <w:gridCol w:w="124"/>
        <w:gridCol w:w="109"/>
        <w:gridCol w:w="109"/>
        <w:gridCol w:w="869"/>
        <w:gridCol w:w="869"/>
        <w:gridCol w:w="871"/>
        <w:gridCol w:w="109"/>
        <w:gridCol w:w="109"/>
        <w:gridCol w:w="109"/>
        <w:gridCol w:w="634"/>
        <w:gridCol w:w="634"/>
        <w:gridCol w:w="6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Option Shares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Except as may otherwise be provided by the Administrator, if the Optionee’s Service Relationship with the Company or a Subsidiary is terminated, the period within which to exercise the Stock Option may be subject to earlier termination as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termination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If the Optionee’s Service Relationship with the Company or a Subsidiary terminates for Cause, any portion of this Stock Option outstanding on such date shall terminate immediately and be of no further force and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Service Relationship with the Company or a Subsidiary terminates for any reason other than the Optionee’s death,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the Optionee ceases to be a Consultant shall terminate immediately and be of no further force or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and any additional terms and conditions for the Optionee’s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Stock Option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tbl>
      <w:tblPr>
        <w:tblW w:w="438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73"/>
        <w:gridCol w:w="873"/>
        <w:gridCol w:w="123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NON-QUALIFIED STOCK OPTION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COMPANY CONSULTANTS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Non-Qualified Stock Option Agreement For Company Consultants (the “Award Agreement”) or in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Stock Option if the Optionee resides and/or works in one of the countries listed below. If the Optionee is a citizen or resident (or is considered as such for local law purposes) of a country other than the country in which the Optionee is currently residing and/or working, or if the Optionee transfers to another country after the Grant Date, the Administrator shall, in its discretion, determine to what extent the terms and conditions contained herein shall be applicable to the Optionee.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Optionee should be aware with respect to the Optionee’s participation in the Plan. Such laws are often complex and change frequently. As a result, the Company strongly recommends that the Optionee not rely on the information contained herein as the only source of information relating to the consequences of the Optionee’s participation in the Plan because the information may be out of date at a relevant time. 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the Optionee’s individual situation.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the Optionee is a citizen or resident (or is considered as such for local law purposes) of a country other than the country in which the Optionee is currently residing and/or working, or if the Optionee transfers to another country after the Grant Date, the notifications contained herein may not be applicable to the Optionee in the same manner.</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94995"/>
                <wp:effectExtent l="0" t="0" r="0" b="0"/>
                <wp:wrapNone/>
                <wp:docPr id="165" name="Frame15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Optionees in Australia.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10: SECURITIES LAW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10:</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Stock Options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Optionee in connection with this grant is provided on the basis that the Optionee is a person to whom an offer of 'securities' and 'derivatives' may be made without a disclosure document (as those terms are defined in the Corporations Act). If the Optionee acquires Stock under the Plan on exercise of Stock Options and offers the Stock to a person or entity resident in Australia, the offer may be subject to disclosure requirements under Australian law. The Optionee should consult with his or her legal adviser before making any such offer in Australia.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Optionee read all the documents given to the Optionee in relation to the Plan (including this Agreement) before deciding whether to participate in the Plan. In particular, the Optionee should satisfy themselves that they have a sufficient understanding of the risks involved in acquiring the Stock Options granted to them (and any Stock that may be issued on settlement of the grant) and consider if participation in the grant of Stock Options (and any Stock that may be issued on settlement of the grant) is suitable for the Optionee, having regard to the Optionee’s investment objectives, financial circumstances and taxation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this grant does not take into account the Optionee’s objectives, financial situation or needs; and</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Optionee in making a decision to participate in the Plan or participate in the grant of Stock Options (or Stock issued on exercise of the Stock Options).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The Optionee acknowledges and agrees that a copy of the Plan has been provided to the Optionee concurrently with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11: TAXES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Optionee is strongly advised to consult with their personal tax advisor regarding the taxation of their Stock Options and of any subsequent sale of the Stock acquired on exercise of their Stock Options. The Company has reporting obligations to the Australian Taxation Office, and the Optionee is responsible for disclosing any taxable discount, in respect of any grant of Stock Options made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CHINA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Optionees in China.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6: NO OBLIGATION TO CONTINUE SERVICE RELATIONSHIP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Optionee shall, not later than the date as of which the exercise of this Stock Option becomes a taxable event for U.S. or non-U.S. tax purposes, pay to the Company or any applicable Affiliate (as defined in Section 1 of the Plan) or make arrangements satisfactory to the Administrator for payment of any U.S. and non-U.S. federal, state, local or other taxes of any kind required by law to be withheld on account of such taxable event. The Company and its Affiliates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taxes required by law to be withheld from the Optionee on account of such transfer.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for Company Consultants apply in the Czech Republic with and subject to the following amendments and provisions for Optionees in the Czech Republic. All capitalized terms set out herein shall have the same meanings as set out in the Agreement, unless stated otherwise.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Optionee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the Optionee’s personal information including but not limited to name, surname, home address and telephone number, date of birth, remuneration information and other personal information that is necessary for the purposes relating to the fulfilment of the Agreement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whereas the Company shall be the controller in relation to such processing. The purposes include but are not limited to: (a) taking necessary actions pursuant to the Agreement; (b) administering and maintaining the Optionee’s records; (c) providing any required information to other Relevant Companies, trustees or third-party administrators; (d) operating, evaluating and amending the Plan. To the extent allowed by applicable law,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as the Relevant Companies consider appropriate. Further conditions of processing of Relevant Information and information about Optionee´s rights in that relation are set out in the Company’s Privacy Policy available at https://www.pattern.com/legal/privacy-policy with which the Optionee became acquainted.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10: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Optionee reads all the documents given to the Optionee in relation to the Plan (including this Agreement) before deciding whether to participate in the Plan. In particular, the Optionee should satisfy his or herself that they have sufficient understanding of the risks involved and consider if participation in the Plan is suitable for the Optionee, having regard to the Optionee’s investment objectives, financial circumstances and taxation position.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11: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Optionee’s objectives, financial situation or needs; and</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Optionee in making a decision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12: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Optionee is strongly advised to consult with their personal tax advisor regarding the tax treatment of their participation on the Plan and of any subsequent transfer of instruments obtained pursuant to this Agreement and the Plan. The Optionee is responsible for proper taxation pursuant to relevant Czech law of any income the Optionee obtains by participating on the Plan including any taxable discount.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Japan with and subject to the following amendments and provisions for Optionees in Japan.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8 will be deleted and replaced with the following: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limited to the Company’s offices located in the United States. Please refer to https://www.pattern.com/legal/privacy-policy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Singapore with and subject to the following amendments and provisions for Optionees in Singapore.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8 will be deleted and replaced with the following: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Optionee explicitly and unambiguously acknowledges and consents to the collection, use, disclosure and transfer, in electronic or other form, of Optionee’s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for the exclusive purpose of implementing, administering and managing Optionee’s participation in the Plan, and to implement or structure future equity grants. Optionee understands that the Personal Data may be transferred to any third parties assisting in the implementation, administration and management of the Plan, that these recipients may be located in Optionee’s country or elsewhere, in particular in the US, and that the recipient country may have different data privacy laws providing less protections of Optionee’s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Optionee may request a list of the names and addresses of any potential recipients of his/her Personal Data by contacting Jed Brunson, the Company’s Chief Information Officer. Optionee acknowledges that the recipients may receive, possess, process, use, retain and transfer the Personal Data, in electronic or other form, for the purposes of implementing, administering and managing Optionee’s participation in the Plan, including any requisite transfer of such Personal Data, as may be required to a broker or other third party with whom Optionee may elect to deposit any Stock acquired upon the vesting of Optionee’s Stock Option. Optionee understands that Personal Data will be held only as long as is necessary to implement, administer and manage Optionee’s participation in the Plan. Optionee understands that the purposes for which Optionee’s Personal Data will be collected or held may continue to apply even in situations where Optionee’s employment with Optionee’s employer has been terminated or altered. Optionee may, at any time, view the Personal Data, request additional information about the storage and processing of the Personal Data, require any necessary amendments to the Personal Data or refuse or withdraw the consents herein, in any case without cost, by contacting Jed Brunson in writing.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10: RESTRICTION ON SALE OF SHARES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Optionee acknowledges and agrees that Stock acquired under the Plan prior to the twelve (12) month anniversary of the Grant Date may not be sold or otherwise offered for sale in Singapore, unless such sale or offer is made (i) more than twelve months after the Grant Date; or (ii) pursuant to the exemptions under Part 13 Division (1) Subdivision (4) (other than section 280) of the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11: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Optionee acknowledges and agrees that the Stock Option is being granted to Optionee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the Republic of Korea with and subject to the following amendments and provisions for Optionees in the Republic of Korea.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Notwithstanding the foregoing, Optionees resident in the Republic of Korea must complete a separate jurisdiction-specific privacy consent form in order to be eligible to participate in the Plan and prior to entering into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FOREIGN EXCHANGE OBLIGATIONS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Foreign Exchange Obligations</w:t>
      </w:r>
      <w:r>
        <w:rPr>
          <w:rFonts w:ascii="Times New Roman;serif" w:hAnsi="Times New Roman;serif"/>
          <w:b w:val="false"/>
          <w:color w:val="000000"/>
          <w:sz w:val="24"/>
        </w:rPr>
        <w:t>. Should the Optionee be a Korea-resident consultant to Pattern Trading SK or persons or entities who render services to the Company or a Subsidiary or Affiliate thereof as an employee of a third-party staffing agency, professional employer organization or employer of record arrangement, they may be obliged to file a securities acquisition report with the Bank of Korea should the aggregate purchase price of Stock Options hereunder be equivalent to US$ 5,000 or more. The preparation and filing of any such report(s) shall be the sole responsibility of the Optionee.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UNITED ARAB EMIRATES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rules of the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with and subject to the following amendments and provisions for Optionees in the UAE.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Optionee shall have access to, and the right to change, the Relevant Information. Relevant Information will only be used in accordance with applicable law.</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10: NATURE OF GRANT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10:</w:t>
      </w:r>
    </w:p>
    <w:p>
      <w:pPr>
        <w:pStyle w:val="TextBody"/>
        <w:bidi w:val="0"/>
        <w:spacing w:before="0" w:after="0"/>
        <w:ind w:left="0" w:right="0" w:hanging="720"/>
        <w:jc w:val="both"/>
        <w:rPr/>
      </w:pPr>
      <w:r>
        <w:rPr/>
      </w:r>
    </w:p>
    <w:p>
      <w:pPr>
        <w:pStyle w:val="TextBody"/>
        <w:bidi w:val="0"/>
        <w:spacing w:lineRule="auto" w:line="288"/>
        <w:jc w:val="both"/>
        <w:rPr/>
      </w:pPr>
      <w:r>
        <w:rPr>
          <w:rFonts w:ascii="Times New Roman;serif" w:hAnsi="Times New Roman;serif"/>
          <w:b w:val="false"/>
          <w:color w:val="000000"/>
          <w:sz w:val="24"/>
        </w:rPr>
        <w:t>The Optionee acknowledges that the Stock Options, the Plan, the Agreement, this UAE Supplement and their participation in the Plan do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xml:space="preserve">) engaging them, either directly or indirectly. The Optionee acknowledges that they are a Consultant and not an employee of the Group and therefore that the Stock Options and related benefits do not constitute a component of their “wages” for any legal purpose. Therefore, the Stock Options and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benefits will not be included and/or considered for purposes of calculating any and all labour benefits, such as end of service gratuity and/or any other labour-related amounts which may be payable.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11: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Stock Options are being offered only to eligible Consultants of the Company or any Subsidiary (or employer of record) and are in the nature of providing equity incentives to these individuals based in the UAE. The Plan, the Agreement and this UAE Supplement is intended for distribution only to such eligible Consultants and must not be delivered to, or relied on by, any other person. Prospective acquirers of the securities offered should conduct their own due diligence on the securities.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12: DISCLAIMER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the Agreement,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Optionee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Optionee should, as a prospective stockholder, conduct their own due diligence on the securities. If the Optionee does not understand the contents of the award documentation, they should consult an authorized financial advisor.</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GOVERNING LAW AND JURISDICTION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Stock Option,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Optionee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Optionee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terms of the Award Agreement apply in the United Kingdom with and subject to the following amendments and provisions for Optionees in the United Kingdom. All capitalized terms set out herein shall have the same meanings as set out in the Agreement or the Plan unless stated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Privacy.</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(a)By participating in the Plan and acquiring the Option, each Optionee acknowledges that the Company, its subsidiaries and affiliates and certain agents thereof (together, the “Relevant Companies”) may process the Optionee’s personal information for a number of purposes relating to the operation of the Plan, and in each case the Relevant Company shall be the controller in relation to such processing. These purposes include but are not limited to: (a) administering and maintaining the Optionee’s records; (b) providing any required information to other Relevant Companies, trustees of any employee benefit trust or third-party administrators; and (c) providing information to future purchasers or merger partners of the Company, the Optionee’s employer company, or the business in which the Optionee works. The Company, other Relevant Company, trustee or third-party administrator may also transfer information about the Optionee to countries or territories that may not provide the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same statutory protection for the information as the UK and where data is transferred outside of the EU or UK, appropriate safeguards will be put in place.</w:t>
      </w:r>
    </w:p>
    <w:p>
      <w:pPr>
        <w:pStyle w:val="TextBody"/>
        <w:bidi w:val="0"/>
        <w:spacing w:lineRule="auto" w:line="288" w:before="0" w:after="160"/>
        <w:ind w:left="0" w:right="0" w:hanging="360"/>
        <w:jc w:val="both"/>
        <w:rPr/>
      </w:pPr>
      <w:r>
        <w:rPr>
          <w:rFonts w:ascii="Times New Roman;serif" w:hAnsi="Times New Roman;serif"/>
          <w:b w:val="false"/>
          <w:color w:val="000000"/>
          <w:sz w:val="24"/>
        </w:rPr>
        <w:t>(b)The basis for any processing of personal information about Optionees under the European Union’s General Data Protection Regulation (EU) (2016/679), as retained in UK law, the UK’s Data Protection Act 2018, the Data (Use and Access) Act 2025, the Privacy and Electronic Communications Regulations (SI 2003 No. 2426 as amended) (or any successor laws) is set out in the Company’s Personnel Privacy Notice (the “</w:t>
      </w:r>
      <w:r>
        <w:rPr>
          <w:rFonts w:ascii="Times New Roman;serif" w:hAnsi="Times New Roman;serif"/>
          <w:b/>
          <w:color w:val="000000"/>
          <w:sz w:val="24"/>
        </w:rPr>
        <w:t>Privacy Notice</w:t>
      </w:r>
      <w:r>
        <w:rPr>
          <w:color w:val="000000"/>
        </w:rPr>
        <w:t>”</w:t>
      </w:r>
      <w:r>
        <w:rPr>
          <w:rFonts w:ascii="Times New Roman;serif" w:hAnsi="Times New Roman;serif"/>
          <w:b w:val="false"/>
          <w:color w:val="000000"/>
          <w:sz w:val="24"/>
        </w:rPr>
        <w:t>) available upon request. The Privacy Notice also contains more details about how an Optionee’s personal information is processed and the Optionee's rights in relation to that information. The Optionee has the right to review the Privacy Notice.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10: NO COMPENSATION FOR LOSSES ON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10.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Compensation for losses on Termination</w:t>
      </w:r>
      <w:r>
        <w:rPr>
          <w:rFonts w:ascii="Times New Roman;serif" w:hAnsi="Times New Roman;serif"/>
          <w:b w:val="false"/>
          <w:color w:val="000000"/>
          <w:sz w:val="24"/>
        </w:rPr>
        <w:t>. Optionees shall have no right to compensation or damages on account of any loss in respect of any Award or the Plan where the loss arises (or is claimed to arise) in whole or in part from the termination of the Optionee’s Service Relationship with the Company or a Subsidiary. This exclusion of liability shall apply in whatever way termination of the Service Relationship occurs (whether lawful or not) and however compensation or damages are claimed.</w:t>
      </w:r>
    </w:p>
    <w:p>
      <w:pPr>
        <w:pStyle w:val="TextBody"/>
        <w:bidi w:val="0"/>
        <w:spacing w:before="0" w:after="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NON-QUALIFIED STOCK OPTION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COMPANY NON-EMPLOYEE DIRECTORS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5817" w:type="dxa"/>
        <w:jc w:val="left"/>
        <w:tblInd w:w="0" w:type="dxa"/>
        <w:tblLayout w:type="fixed"/>
        <w:tblCellMar>
          <w:top w:w="28" w:type="dxa"/>
          <w:left w:w="28" w:type="dxa"/>
          <w:bottom w:w="28" w:type="dxa"/>
          <w:right w:w="28" w:type="dxa"/>
        </w:tblCellMar>
      </w:tblPr>
      <w:tblGrid>
        <w:gridCol w:w="1163"/>
        <w:gridCol w:w="1020"/>
        <w:gridCol w:w="1026"/>
        <w:gridCol w:w="277"/>
        <w:gridCol w:w="277"/>
        <w:gridCol w:w="277"/>
        <w:gridCol w:w="277"/>
        <w:gridCol w:w="277"/>
        <w:gridCol w:w="277"/>
        <w:gridCol w:w="277"/>
        <w:gridCol w:w="277"/>
        <w:gridCol w:w="39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of Optionee: </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[FMV on Grant Date]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166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 more than 10 years]</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to the Optionee named above, who is a Non-Employee Director of the Company but is not an employee of the Company, an option (the “Stock Option”) to purchase on or prior to the Expiration Date specified above all or part of the number of shares of Series A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__________________________, so long as the Optionee remains in a Service Relationship on such dates.</w:t>
      </w:r>
    </w:p>
    <w:tbl>
      <w:tblPr>
        <w:tblW w:w="5554" w:type="dxa"/>
        <w:jc w:val="left"/>
        <w:tblInd w:w="0" w:type="dxa"/>
        <w:tblLayout w:type="fixed"/>
        <w:tblCellMar>
          <w:top w:w="28" w:type="dxa"/>
          <w:left w:w="28" w:type="dxa"/>
          <w:bottom w:w="28" w:type="dxa"/>
          <w:right w:w="28" w:type="dxa"/>
        </w:tblCellMar>
      </w:tblPr>
      <w:tblGrid>
        <w:gridCol w:w="124"/>
        <w:gridCol w:w="109"/>
        <w:gridCol w:w="109"/>
        <w:gridCol w:w="869"/>
        <w:gridCol w:w="869"/>
        <w:gridCol w:w="871"/>
        <w:gridCol w:w="109"/>
        <w:gridCol w:w="109"/>
        <w:gridCol w:w="109"/>
        <w:gridCol w:w="634"/>
        <w:gridCol w:w="634"/>
        <w:gridCol w:w="6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Option Shares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event of a Sale Event, 100% of the then-outstanding and unvested Option Shares shall immediately be deemed vested and exercisable on the date of such Sale Event; provided, that the Optionee remains in a Service Relationship until the date of such Sale Event. Once exercisable, this Stock Option shall continue to be exercisable at any time or times prior to the close of business on the Expiration Date, subject to the provisions hereof and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shares of Stock purchased upon exercise of this Stock Option shall be transferred to the Optionee on the records of the Company or of the transfer agent upon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Optionee’s Service Relationship with the Company or a Subsidiary is terminated, the period within which to exercise the Stock Option may be subject to earlier termination as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Service Relationship with the Company or a Subsidiary ceases for any reason other than the Optionee’s death, any portion of this Stock Option outstanding on such date may be exercised, to the extent exercisable on the date the Optionee ceased to be in a Service Relationship with the Company or a Subsidiary, for a period of six (6) months from the date the Optionee ceased to be in a Service Relationship with the Company or a Subsidiary or until the Expiration Date, if earlier. Any portion of this Stock Option that is not exercisable on the date the Optionee ceases to be in a Service Relationship with the Company or a Subsidiary shall terminate immediately and be of no further force or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tbl>
      <w:tblPr>
        <w:tblW w:w="438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73"/>
        <w:gridCol w:w="873"/>
        <w:gridCol w:w="123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NON-QUALIFIED STOCK OPTION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COMPANY EMPLOYEES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5591" w:type="dxa"/>
        <w:jc w:val="left"/>
        <w:tblInd w:w="0" w:type="dxa"/>
        <w:tblLayout w:type="fixed"/>
        <w:tblCellMar>
          <w:top w:w="28" w:type="dxa"/>
          <w:left w:w="28" w:type="dxa"/>
          <w:bottom w:w="28" w:type="dxa"/>
          <w:right w:w="28" w:type="dxa"/>
        </w:tblCellMar>
      </w:tblPr>
      <w:tblGrid>
        <w:gridCol w:w="1163"/>
        <w:gridCol w:w="1020"/>
        <w:gridCol w:w="1026"/>
        <w:gridCol w:w="253"/>
        <w:gridCol w:w="253"/>
        <w:gridCol w:w="253"/>
        <w:gridCol w:w="253"/>
        <w:gridCol w:w="253"/>
        <w:gridCol w:w="253"/>
        <w:gridCol w:w="253"/>
        <w:gridCol w:w="253"/>
        <w:gridCol w:w="35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of Optionee: </w:t>
            </w:r>
          </w:p>
        </w:tc>
        <w:tc>
          <w:tcPr>
            <w:tcW w:w="15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15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[FMV on Grant Date]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15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1518"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to the Optionee named above an option (the “Stock Option”) to purchase on or prior to the Expiration Date specified above all or part of the number of shares of Series A Common Stock, par value $0.001 per share (the “Stock”) of the Company specified above at the Option Exercise Price per Share specified above subject to the terms and conditions set forth herein (including the terms and conditions for the Optionee’s country in the appendix attached hereto as Appendix A) and in the Plan. This Stock Option is not intended to be an “incentive stock option” under Section 422 of the Internal Revenue Code of 1986,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__________________________, so long as Optionee continues to have a Service Relationship with the Company or a Subsidiary on such dates.</w:t>
      </w:r>
    </w:p>
    <w:tbl>
      <w:tblPr>
        <w:tblW w:w="5554" w:type="dxa"/>
        <w:jc w:val="left"/>
        <w:tblInd w:w="0" w:type="dxa"/>
        <w:tblLayout w:type="fixed"/>
        <w:tblCellMar>
          <w:top w:w="28" w:type="dxa"/>
          <w:left w:w="28" w:type="dxa"/>
          <w:bottom w:w="28" w:type="dxa"/>
          <w:right w:w="28" w:type="dxa"/>
        </w:tblCellMar>
      </w:tblPr>
      <w:tblGrid>
        <w:gridCol w:w="124"/>
        <w:gridCol w:w="109"/>
        <w:gridCol w:w="109"/>
        <w:gridCol w:w="869"/>
        <w:gridCol w:w="869"/>
        <w:gridCol w:w="871"/>
        <w:gridCol w:w="109"/>
        <w:gridCol w:w="109"/>
        <w:gridCol w:w="109"/>
        <w:gridCol w:w="634"/>
        <w:gridCol w:w="634"/>
        <w:gridCol w:w="6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Option Shares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Optionee’s Service Relationship with the Company or a Subsidiary (as defined in the Plan) is terminated, the period within which to exercise the Stock Option may be subject to earlier termination as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Service Relationship with the Company or a Subsidiary terminates for Cause, any portion of this Stock Option outstanding on such date shall terminate immediately and be of no further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and any additional terms and conditions for the Optionee’s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Stock Option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Clawback Acknowledgement</w:t>
      </w:r>
      <w:r>
        <w:rPr>
          <w:rFonts w:ascii="Times New Roman;serif" w:hAnsi="Times New Roman;serif"/>
          <w:b w:val="false"/>
          <w:color w:val="000000"/>
          <w:sz w:val="24"/>
        </w:rPr>
        <w:t>. The Optionee acknowledges that the Optionee may become subject to the Pattern Group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Company’s Executive Severance Plan, as amended from time to time)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tbl>
      <w:tblPr>
        <w:tblW w:w="438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73"/>
        <w:gridCol w:w="873"/>
        <w:gridCol w:w="123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NON-QUALIFIED STOCK OPTION AGREEMENT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COMPANY EMPLOYEES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Non-Qualified Stock Option Agreement For Company Employees (the “Award Agreement”) or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Stock Option if the Optionee resides and/or works in one of the countries listed below. If the Optionee is a citizen or resident (or is considered as such for local law purposes) of a country other than the country in which the Optionee is currently residing and/or working, or if the Optionee transfers to another country after the Grant Date, the Administrator shall, in its discretion, determine to what extent the terms and conditions contained herein shall be applicable to the Optionee.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Optionee should be aware with respect to the Optionee’s participation in the Plan. Such laws are often complex and change frequently. As a result, the Company strongly recommends that the Optionee not rely on the information contained herein as the only source of information relating to the consequences of the Optionee’s participation in the Plan because the information may be out of date at a relevant time. 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the Optionee’s individual situation.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the Optionee is a citizen or resident (or is considered as such for local law purposes) of a country other than the country in which the Optionee is currently residing and/or working, or if the Optionee transfers to another country after the Grant Date, the notifications contained herein may not be applicable to the Optionee in the same manner.</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94995"/>
                <wp:effectExtent l="0" t="0" r="0" b="0"/>
                <wp:wrapNone/>
                <wp:docPr id="187" name="Frame17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Optionees in Australia.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12: SECURITIES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Stock Options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Optionee in connection with this grant is provided on the basis that the Optionee is a person to whom an offer of 'securities' and 'derivatives' may be made without a disclosure document (as those terms are defined in the Corporations Act). If the Optionee acquires Stock under the Plan on exercise of Stock Options and offers the Stock to a person or entity resident in Australia, the offer may be subject to disclosure requirements under Australian law. The Optionee should consult with his or her legal adviser before making any such offer in Australia.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Optionee read all the documents given to the Optionee in relation to the Plan (including this Agreement) before deciding whether to participate in the Plan. In particular, the Optionee should satisfy themselves that they have a sufficient understanding of the risks involved in acquiring the Stock Options granted to them (and any Stock that may be issued on settlement of the grant) and consider if participation in the grant of Stock Options (and any Stock that may be issued on settlement of the grant) is suitable for the Optionee, having regard to the Optionee’s investment objectives, financial circumstances and taxation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before="0" w:after="0"/>
        <w:jc w:val="both"/>
        <w:rPr/>
      </w:pPr>
      <w:r>
        <w:rPr/>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(i)constitutes financial product advice and any advice or information provided by the Company in relation to this grant does not take into account the Optionee’s objectives, financial situation or needs; and</w:t>
      </w:r>
    </w:p>
    <w:p>
      <w:pPr>
        <w:pStyle w:val="TextBody"/>
        <w:bidi w:val="0"/>
        <w:spacing w:before="0" w:after="0"/>
        <w:jc w:val="both"/>
        <w:rPr/>
      </w:pPr>
      <w:r>
        <w:rPr/>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(ii)should be taken to constitute a recommendation or statement of opinion that is intended to influence the Optionee in making a decision to participate in the Plan or participate in the grant of Stock Options (or Stock issued on exercise of the Stock Options).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xml:space="preserve">. The Optionee acknowledges and agrees that a copy of the Plan has been provided to the Optionee concurrently with this Agreement.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TAXES</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Optionee is strongly advised to consult with their personal tax advisor regarding the taxation of their Stock Options and of any subsequent sale of the Stock acquired on exercise of their Stock Options. The Company has reporting obligations to the Australian Taxation Office, and the Optionee is responsible for disclosing any taxable discount, in respect of any grant of Stock Options made under the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CANADA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 xml:space="preserve">The rules of the Award Agreement apply in Canada with and subject to the following amendments and provisions for Optionees in Canada, which for greater certainty shall include those Optionees that are residents of Canada for purposes of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(Canada) (the “</w:t>
      </w:r>
      <w:r>
        <w:rPr>
          <w:rFonts w:ascii="Times New Roman;serif" w:hAnsi="Times New Roman;serif"/>
          <w:b/>
          <w:color w:val="000000"/>
          <w:sz w:val="24"/>
        </w:rPr>
        <w:t>Tax Act</w:t>
      </w:r>
      <w:r>
        <w:rPr>
          <w:color w:val="000000"/>
        </w:rPr>
        <w:t>”</w:t>
      </w:r>
      <w:r>
        <w:rPr>
          <w:rFonts w:ascii="Times New Roman;serif" w:hAnsi="Times New Roman;serif"/>
          <w:b w:val="false"/>
          <w:color w:val="000000"/>
          <w:sz w:val="24"/>
        </w:rPr>
        <w:t>) or are otherwise subject to tax in Canada by virtue of their employment (“</w:t>
      </w:r>
      <w:r>
        <w:rPr>
          <w:rFonts w:ascii="Times New Roman;serif" w:hAnsi="Times New Roman;serif"/>
          <w:b/>
          <w:color w:val="000000"/>
          <w:sz w:val="24"/>
        </w:rPr>
        <w:t>Canadian Employees</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3: TERMINATION OF SERVICE RELATIONSHIP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Add the following at the end of the paragraph following Section 3(d):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 purposes of the Plan and the Agreement, including but not limited to Section 3 of the Agreement, “date of termination” means the later of: (i) the Optionee’s last day of providing services to or performing work with the Company (or Subsidiary as defined in the Plan); or (ii) the last day of any minimum statutory notice period (if applicable). For clarity, except the applicable minimum statutory notice period, no period of notice which may be required under contract or common law shall be included for purposes of determining the date of termination. Further the Stock Options are not part of normal or expected compensation or salary for any purposes, including, but not limited to, calculating any severance, resignation, termination, redundancy, end of service payments, bonuses, long-service awards, pension or retirement or welfare benefits or similar payments (or damages in lieu of same) and in no event should be considered as compensation for, or relating in any way to, past services for the Company or a Subsidiary.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Section 3(c) of the Agreement, “Cause” shall mean circumstances where the termination of employment is due to wilful misconduct, disobedience or wilful neglect of duty that is not trivial and has not been condoned by the Company or a Subsidiary. </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6 will be deleted and replaced with the following: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4"/>
          <w:u w:val="single"/>
        </w:rPr>
        <w:t>Tax Withholding.</w:t>
      </w:r>
      <w:r>
        <w:rPr>
          <w:color w:val="000000"/>
        </w:rPr>
        <w:t xml:space="preserve"> </w:t>
      </w:r>
      <w:r>
        <w:rPr>
          <w:rFonts w:ascii="Times New Roman;serif" w:hAnsi="Times New Roman;serif"/>
          <w:b w:val="false"/>
          <w:color w:val="000000"/>
          <w:sz w:val="24"/>
        </w:rPr>
        <w:t xml:space="preserve">The Optionee shall, not later than the date as of which the exercise of this Stock Option becomes a taxable event for income tax purposes, pay to the Company or make arrangements satisfactory to the Administrator for payment of any Applicable Withholding Taxes required by law to be withheld on account of such taxable event. The Optionee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directs the Company to cause the required Applicable Withholding Tax obligation to be satisfied, in whole or in part, by (i) where the Optionee has chosen to “net exercise” in accordance in Section 2(a) of this Agreement,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Applicable Withholding Taxes required by law to be withheld from the Optionee on account of such transfer or exercise.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CHINA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Optionees in China.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6 will be deleted and replaced with the following:</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 Optionee shall, not later than the date as of which the exercise of this Stock Option becomes a taxable event for U.S. or non-U.S. tax purposes, pay to the Company or any applicable Affiliate (as defined in Section 1 of the Plan) or make arrangements satisfactory to the Administrator for payment of any U.S. and non-U.S. federal, state, local or other taxes of any kind required by law to be withheld on account of such taxable event. The Company and its Affiliates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taxes required by law to be withheld from the Optionee on account of such transfer.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for Company Employees apply in the Czech Republic with and subject to the following amendments and provisions for Optionees in the Czech Republic. All capitalized terms set out herein shall have the same meanings as set out in the Agreement,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319"/>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Optionee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xml:space="preserve">) may process the Optionee’s personal information including but not limited to name, surname, home address and telephone number, date of birth, remuneration information and other personal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19" w:before="0" w:after="0"/>
        <w:jc w:val="both"/>
        <w:rPr/>
      </w:pPr>
      <w:r>
        <w:rPr>
          <w:rFonts w:ascii="Times New Roman;serif" w:hAnsi="Times New Roman;serif"/>
          <w:b w:val="false"/>
          <w:color w:val="000000"/>
          <w:sz w:val="24"/>
        </w:rPr>
        <w:t>information that is necessary for the purposes relating to the fulfilment of the Agreement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whereas the Company shall be the controller in relation to such processing. The purposes include but are not limited to: (a) taking necessary actions pursuant to the Agreement; (b) administering and maintaining the Optionee’s records; (c) providing any required information to other Relevant Companies, trustees or third-party administrators; (d) operating, evaluating and amending the Plan. To the extent allowed by applicable law,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as the Relevant Companies consider appropriate. Further conditions of processing of Relevant Information and information about Optionee´s rights in that relation are set out in the Company’s Privacy Policy available at https://www.pattern.com/legal/privacy-policy with which the Optionee became acquainted.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12: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Optionee reads all the documents given to the Optionee in relation to the Plan (including this Agreement) before deciding whether to participate in the Plan. In particular, the Optionee should satisfy his or herself that they have sufficient understanding of the risks involved and consider if participation in the Plan is suitable for the Optionee, having regard to the Optionee’s investment objectives, financial circumstances and taxation position.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13: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Optionee’s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Optionee in making a decision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14: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Optionee is strongly advised to consult with their personal tax advisor regarding the tax treatment of their participation on the Plan and of any subsequent transfer of instruments obtained pursuant to this Agreement and the Plan. The Optionee is responsible for proper taxation pursuant to relevant Czech law of any income the Optionee obtains by participating on the Plan including any taxable discount.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INDIA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India with and subject to the following amendments and provisions for Optionees in India.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6 will be deleted and replaced with the following:</w:t>
      </w:r>
    </w:p>
    <w:p>
      <w:pPr>
        <w:pStyle w:val="TextBody"/>
        <w:bidi w:val="0"/>
        <w:spacing w:before="0" w:after="0"/>
        <w:jc w:val="both"/>
        <w:rPr/>
      </w:pPr>
      <w:r>
        <w:rPr/>
      </w:r>
    </w:p>
    <w:p>
      <w:pPr>
        <w:pStyle w:val="TextBody"/>
        <w:bidi w:val="0"/>
        <w:spacing w:lineRule="auto" w:line="288" w:before="0" w:after="20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lineRule="auto" w:line="288" w:before="0" w:after="20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(b)Optionees who are Indian residents are liable to pay taxes when they receive the shares of Common Stock. For the purposes of determining the amount of withholding tax, the fair market value of the shares will be determined by a category - 1 merchant banker duly registered with the Securities and Exchange Board of India (“SEBI”) as on the date of purchase/allotment of securities, as per the prevailing income tax law in India. Optionee hereby agrees to pay taxes by any of the methods prescribed in the Plan on the difference between fair market value and purchase price paid by Optionee. Optionee shall also be responsible to pay tax on subsequent sale of shares at the applicable rates prevailing at the time of sale. Optionee is also responsible to pay taxes on dividend income at the applicable rates prevailing at the time of declaration/receipt. Neither the Company nor any Subsidiary or its Affiliates shall be responsible for the tax payable by Optionee on such subsequent sale. Optionee agrees that it is his/her responsibility to comply with the payment of taxes and compliance requirements and Optionee shall consult his/her personal tax advisor in this regard.</w:t>
      </w:r>
    </w:p>
    <w:p>
      <w:pPr>
        <w:pStyle w:val="TextBody"/>
        <w:bidi w:val="0"/>
        <w:spacing w:lineRule="auto" w:line="288" w:before="0" w:after="20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(c)Optionees who are Indian residents are required to declare any foreign bank accounts and any foreign financial assets in their annual income tax returns (in schedule FA: details of foreign assets and income from source outside India). Optionee is required to mandatorily file the tax returns if he/she has any assets outside India even if his/her income is below the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threshold limit prescribed under the income tax law. Optionee shall be responsible for complying with this reporting obligation and should confer with his/her personal tax advisor to determine his/her obligations in this regard.</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12: SECURITIES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(a)The securities described in the Plan are being offered only to a select number of Optionees who, in respect of this Indian Supplement are employees of Pattern Technologies India Private Limited. Such Optionees may not be acting on behalf of or as an agent for, any other person or entity. Securities under the Plan will not be available for subscription or purchase by any other person or entity.</w:t>
      </w:r>
    </w:p>
    <w:p>
      <w:pPr>
        <w:pStyle w:val="TextBody"/>
        <w:bidi w:val="0"/>
        <w:spacing w:before="0" w:after="0"/>
        <w:ind w:left="0" w:right="0" w:hanging="270"/>
        <w:jc w:val="both"/>
        <w:rPr/>
      </w:pPr>
      <w:r>
        <w:rPr/>
      </w:r>
    </w:p>
    <w:p>
      <w:pPr>
        <w:pStyle w:val="TextBody"/>
        <w:bidi w:val="0"/>
        <w:spacing w:lineRule="auto" w:line="288" w:before="0" w:after="0"/>
        <w:ind w:left="0" w:right="0" w:hanging="450"/>
        <w:jc w:val="both"/>
        <w:rPr/>
      </w:pPr>
      <w:r>
        <w:rPr>
          <w:rFonts w:ascii="Times New Roman;serif" w:hAnsi="Times New Roman;serif"/>
          <w:b w:val="false"/>
          <w:color w:val="000000"/>
          <w:sz w:val="24"/>
        </w:rPr>
        <w:t>(b)The Plan, the Agreement, and any corresponding documents (together, the “</w:t>
      </w:r>
      <w:r>
        <w:rPr>
          <w:rFonts w:ascii="Times New Roman;serif" w:hAnsi="Times New Roman;serif"/>
          <w:b/>
          <w:color w:val="000000"/>
          <w:sz w:val="24"/>
        </w:rPr>
        <w:t>Plan Documents</w:t>
      </w:r>
      <w:r>
        <w:rPr>
          <w:color w:val="000000"/>
        </w:rPr>
        <w:t>”</w:t>
      </w:r>
      <w:r>
        <w:rPr>
          <w:rFonts w:ascii="Times New Roman;serif" w:hAnsi="Times New Roman;serif"/>
          <w:b w:val="false"/>
          <w:color w:val="000000"/>
          <w:sz w:val="24"/>
        </w:rPr>
        <w:t>), have neither been delivered for registration nor are they intended to be registered with any regulatory authorities in India. The Plan Documents are not intended for distribution and are meant solely for the consideration of the person to whom they are addressed and should not be reproduced by Optionee.</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(c)The shares issued pursuant to the Plan do not constitute a public offering of securities under the (Indian) Companies Act, 2013 and are available only to those individuals as indicated in the Plan. The Plan Documents do not invite offers from the public for subscription or purchase of the securities of any body corporate under any law for the time being in force in India. The Plan Documents have not been prepared in accordance with and are not intended to constitute a ‘prospectus’ for, a public offering of securities under the applicable companies and securities legislation in India, and the Plan Documents have not been reviewed by any regulatory authority in India. The Plan Documents are intended only for Optionee’s personal use and not for distribution to any other persons. </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(d)The website on which the Plan Documents are hosted is not a prospectus under the applicable laws for the time being in force in India. The Company or Pattern Technologies India Private Limited do not intend to market, promote, or invite offers for subscription or purchase of the securities of any body corporate by virtue of providing the Optionee with the Plan Documents. The information provided in the Plan Documents is for record purposes only.</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(e)Any person who subscribes or purchases securities of any body corporate should consult their own investment advisers before making any investments. The Company or Pattern Technologies India Private Limited shall not be liable or responsible for any such investment decision made by any person.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EXCHANGE CONTROLS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13: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(a)Optionee shall be solely responsible to comply with all applicable laws including but not limited to the (Indian) Foreign Exchange Management Act, 1999 and the rules and regulations thereunder, in respect of grant, vesting and exercise of the Option and the sale of the shares of Common Stock acquired under the Plan. Optionee shall be required to comply with the applicable laws and requirements for remittance of the monies from India for exercise of the Option. Should the Optionee sell the shares of Common Stock, Optionee acknowledges his/her obligation and agrees to: (i) repatriate to India, any proceeds from the sale of shares of Common Stock (or the receipt of any dividends to India) within 180 days of the date of sale, unless reinvested; and (ii) obtain a foreign inward remittance certificate (“</w:t>
      </w:r>
      <w:r>
        <w:rPr>
          <w:rFonts w:ascii="Times New Roman;serif" w:hAnsi="Times New Roman;serif"/>
          <w:b/>
          <w:color w:val="000000"/>
          <w:sz w:val="24"/>
        </w:rPr>
        <w:t>FIRC</w:t>
      </w:r>
      <w:r>
        <w:rPr>
          <w:color w:val="000000"/>
        </w:rPr>
        <w:t>”</w:t>
      </w:r>
      <w:r>
        <w:rPr>
          <w:rFonts w:ascii="Times New Roman;serif" w:hAnsi="Times New Roman;serif"/>
          <w:b w:val="false"/>
          <w:color w:val="000000"/>
          <w:sz w:val="24"/>
        </w:rPr>
        <w:t>) from the bank in which Optionee deposits the foreign currency and maintain the FIRC as an evidence of the repatriation of funds in the event the Reserve Bank of India (“</w:t>
      </w:r>
      <w:r>
        <w:rPr>
          <w:rFonts w:ascii="Times New Roman;serif" w:hAnsi="Times New Roman;serif"/>
          <w:b/>
          <w:color w:val="000000"/>
          <w:sz w:val="24"/>
        </w:rPr>
        <w:t>RBI</w:t>
      </w:r>
      <w:r>
        <w:rPr>
          <w:color w:val="000000"/>
        </w:rPr>
        <w:t>”</w:t>
      </w:r>
      <w:r>
        <w:rPr>
          <w:rFonts w:ascii="Times New Roman;serif" w:hAnsi="Times New Roman;serif"/>
          <w:b w:val="false"/>
          <w:color w:val="000000"/>
          <w:sz w:val="24"/>
        </w:rPr>
        <w:t>), the Company or Pattern Technologies India Private Limited request for proof of repatriation. It is Optionee’s responsibility to comply with exchange control laws in India including making necessary disclosures to the RBI. The Company and Pattern Technologies India Private Limited shall not be liable for any fines or penalties resulting from Optionee’s failure to comply with any applicable laws.</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(b)In respect of any remittance of the monies from the India by Optionee and in respect of receiving funds for sale of the shares of Common Stock, it is Optionee’s responsibility to comply with the reporting requirements of the RBI, as per exchange control laws in India.</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Japan with and subject to the following amendments and provisions for Optionees in Japan.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limited to the Company’s offices located in the United States. Please refer to the https://www.pattern.com/legal/privacy-policy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Singapore with and subject to the following amendments and provisions for Optionees in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8 will be deleted and replaced with the following: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Optionee explicitly and unambiguously acknowledges and consents to the collection, use, disclosure and transfer, in electronic or other form, of Optionee’s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for the exclusive purpose of implementing, administering and managing Optionee’s participation in the Plan, and to implement or structure future equity grants. Optionee understands that the Personal Data may be transferred to any third parties assisting in the implementation, administration and management of the Plan, that these recipients may be located in Optionee’s country or elsewhere, in particular in the US, and that the recipient country may have different data privacy laws providing less protections of Optionee’s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Optionee may request a list of the names and addresses of any potential recipients of his/her Personal Data by contacting Jed Brunson, the Company’s Chief Information Officer. Optionee acknowledges that the recipients may receive, possess, process, use, retain and transfer the Personal Data, in electronic or other form, for the purposes of implementing, administering and managing Optionee’s participation in the Plan, including any requisite transfer of such Personal Data, as may be required to a broker or other third party with whom Optionee may elect to deposit any Stock acquired upon the vesting of Optionee’s Stock Option. Optionee understands that Personal Data will be held only as long as is necessary to implement, administer and manage Optionee’s participation in the Plan. Optionee understands that the purposes for which Optionee’s Personal Data will be collected or held may continue to apply even in situations where Optionee’s employment with Optionee’s employer has been terminated or altered. Optionee may, at any time, view the Personal Data, request additional information about the storage and processing of the Personal Data, require any necessary amendments to the Personal Data or refuse or withdraw the consents herein, in any case without cost, by contacting Jed Brunson in writing.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12: RESTRICTION ON SALE OF SHARES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Optionee acknowledges and agrees that Stock acquired under the Plan prior to the six (6) month anniversary of the Grant Date may not be sold or otherwise offered for sale in Singapore, unless such sale or offer is made (i) more than six months after the Grant Date; or (ii) pursuant to the exemptions under Part 13 Division (1) Subdivision (4) (other than section 280) of the Singapore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13: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Optionee acknowledges and agrees that the Stock Option is being granted to Optionee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14: CHIEF EXECUTIVE OFFICER AND DIRECTOR NOTIFICATION OBLIGATION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Optionee acknowledges that if Optionee is 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or a director, as defined under the Singapore Companies Act 1967 (“</w:t>
      </w:r>
      <w:r>
        <w:rPr>
          <w:rFonts w:ascii="Times New Roman;serif" w:hAnsi="Times New Roman;serif"/>
          <w:b/>
          <w:color w:val="000000"/>
          <w:sz w:val="24"/>
        </w:rPr>
        <w:t>Singapore Companies Act</w:t>
      </w:r>
      <w:r>
        <w:rPr>
          <w:color w:val="000000"/>
        </w:rPr>
        <w:t>”</w:t>
      </w:r>
      <w:r>
        <w:rPr>
          <w:rFonts w:ascii="Times New Roman;serif" w:hAnsi="Times New Roman;serif"/>
          <w:b w:val="false"/>
          <w:color w:val="000000"/>
          <w:sz w:val="24"/>
        </w:rPr>
        <w:t>) of a Singapore-incorporated subsidiary of the Company (“</w:t>
      </w:r>
      <w:r>
        <w:rPr>
          <w:rFonts w:ascii="Times New Roman;serif" w:hAnsi="Times New Roman;serif"/>
          <w:b/>
          <w:color w:val="000000"/>
          <w:sz w:val="24"/>
        </w:rPr>
        <w:t>Singapore Subsidiary</w:t>
      </w:r>
      <w:r>
        <w:rPr>
          <w:color w:val="000000"/>
        </w:rPr>
        <w:t>”</w:t>
      </w:r>
      <w:r>
        <w:rPr>
          <w:rFonts w:ascii="Times New Roman;serif" w:hAnsi="Times New Roman;serif"/>
          <w:b w:val="false"/>
          <w:color w:val="000000"/>
          <w:sz w:val="24"/>
        </w:rPr>
        <w:t xml:space="preserve">), Optionee is subject to certain disclosure requirements under the Singapore Companies Act. Among these requirements is an obligation to notify the Singapore Subsidiary in writing of any interest in shares, debentures, rights, participatory interests (where Optionee is a director) or options in the Singapore Subsidiary and/or its “related corporation” as defined under the Singapore Companies Act, within two business days of (i) its acquisition or disposal, or (ii) becoming a CEO or a director, whichever is later. In addition, Optionee is also required to notify the Singapore Subsidiary in writing of any change in previously disclosed interest (e.g., when the Stock are sold) within two business days after the occurrence of the event giving rise to the change.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the Republic of Korea with and subject to the following amendments and provisions for Optionees in the Republic of Korea.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9 will be deleted and replaced with the following: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Notwithstanding the foregoing, Optionees resident in the Republic of Korea must complete a separate jurisdiction-specific privacy consent form in order to be eligible to participate in the Plan and prior to entering into this Agreement.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ARAB EMIRATES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The rules of the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xml:space="preserve">) with and subject to the following amendments and provisions for Optionees in the UAE.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Optionee shall have access to, and the right to change, the Relevant Information. Relevant Information will only be used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12: NATURE OF GRANT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Optionee acknowledges that the Stock Options, the Plan, the Agreement, this UAE Supplement and their participation in the Plan does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employing them, either directly or indirectly. The Optionee acknowledges that the Stock Options and related benefits do not constitute a component of their “wages” for any legal purpose. Therefore, the Stock Options and related benefits will not be included and/or considered for purposes of calculating any and all labour benefits, such as end of service gratuity and/or any other labour-related amounts which may be payable.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13: SECURITIES LAW INFORMATION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Stock Options are being offered only to eligible employees of the Company or any Subsidiary (or employer of record) and are in the nature of providing equity incentives to these individuals based in the UAE. The Plan, the Agreement and this UAE Supplement is intended for distribution only to such eligible employees and must not be delivered to, or relied on by, any other person. Prospective acquirers of the securities offered should conduct their own due diligence on the securities.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14: DISCLAIMER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Plan, the Agreement,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Optionee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Optionee should, as a prospective stockholder, conduct their own due diligence on the securities. If the Optionee does not understand the contents of the award documentation, they should consult an authorized financial advisor.</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15: GOVERNING LAW AND JURISDICTION</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Stock Option,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Optionee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Optionee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terms of the Award Agreement apply in the United Kingdom with and subject to the following amendments and provisions for Optionees in the United Kingdom.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Data Privacy.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16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(a)By participating in the Plan and acquiring the Option, each Optionee acknowledges that the Company, its subsidiaries and affiliates and certain agents thereof (together, the “Relevant Companies”) may process the Optionee’s personal information for a number of purposes relating to the operation of the Plan, and in each case the Relevant Company shall be the controller in relation to such processing. These purposes include but are not limited to: (a) administering and maintaining the Optionee’s records; (b) providing any required information to other Relevant Companies, trustees of any employee benefit trust or third-party administrators; and (c) providing information to future purchasers or merger partners of the Company, the Optionee’s employer company, or the business in which the Optionee works. The Company, other Relevant Company, trustee or third-party administrator may also transfer information about the Optionee to countries or territories that may not provide the same statutory protection for the information as the UK and where data is transferred outside of the EU or UK, appropriate safeguards will be put in place.</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(b)The basis for any processing of personal information about Optionees under the European Union’s General Data Protection Regulation (EU) (2016/679), as retained in UK law, the UK’s Data Protection Act 2018, the Data (Use and Access) Act 2025, the Privacy and Electronic Communications Regulations (SI 2003 No. 2426 as amended) (the “</w:t>
      </w:r>
      <w:r>
        <w:rPr>
          <w:rFonts w:ascii="Times New Roman;serif" w:hAnsi="Times New Roman;serif"/>
          <w:b/>
          <w:color w:val="000000"/>
          <w:sz w:val="24"/>
        </w:rPr>
        <w:t>Privacy Notice</w:t>
      </w:r>
      <w:r>
        <w:rPr>
          <w:color w:val="000000"/>
        </w:rPr>
        <w:t>”</w:t>
      </w:r>
      <w:r>
        <w:rPr>
          <w:rFonts w:ascii="Times New Roman;serif" w:hAnsi="Times New Roman;serif"/>
          <w:b w:val="false"/>
          <w:color w:val="000000"/>
          <w:sz w:val="24"/>
        </w:rPr>
        <w:t>) available upon request. The Privacy Notice also contains more details about how an Optionee’s personal information is processed and the Optionee's rights in relation to that information. The Optionee has the right to review the Privacy Notice.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12: RESPONSIBILITY FOR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12.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Responsibility for Taxes.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(a)Without limitation to clause 6 of the Agreement, the Optionee accepts liability for all income tax, national insurance contributions and other tax-related items relating to the Optionee’s participation in the Plan which are applicable to the Optionee (“</w:t>
      </w:r>
      <w:r>
        <w:rPr>
          <w:rFonts w:ascii="Times New Roman;serif" w:hAnsi="Times New Roman;serif"/>
          <w:b/>
          <w:color w:val="000000"/>
          <w:sz w:val="24"/>
        </w:rPr>
        <w:t>Tax-Related Items</w:t>
      </w:r>
      <w:r>
        <w:rPr>
          <w:color w:val="000000"/>
        </w:rPr>
        <w:t>”</w:t>
      </w:r>
      <w:r>
        <w:rPr>
          <w:rFonts w:ascii="Times New Roman;serif" w:hAnsi="Times New Roman;serif"/>
          <w:b w:val="false"/>
          <w:color w:val="000000"/>
          <w:sz w:val="24"/>
        </w:rPr>
        <w:t>) and hereby covenants to pay all such Tax-Related Items, as and when requested by the Company or the Optionee’s employer or by His Majesty’s Revenue and Customs (“HMRC”) (or any other tax authority or any other relevant authority). The Optionee also agrees to indemnify and keep indemnified the Company and the Optionee’s employer against any Tax-Related Items that they are required to pay or withhold or have paid or will pay to HMRC (or any other tax authority or any other relevant authority) on the Optionee’s behalf.</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(b)As a condition of participation in the Plan and the exercise of this Stock Option, the Optionee agrees to accept any liability for secondary Class 1 National Insurance Contributions which may be payable by the Company and/or the Optionee’s employer in connection with this Stock Option (the “</w:t>
      </w:r>
      <w:r>
        <w:rPr>
          <w:rFonts w:ascii="Times New Roman;serif" w:hAnsi="Times New Roman;serif"/>
          <w:b/>
          <w:color w:val="000000"/>
          <w:sz w:val="24"/>
        </w:rPr>
        <w:t>Employer NICs</w:t>
      </w:r>
      <w:r>
        <w:rPr>
          <w:color w:val="000000"/>
        </w:rPr>
        <w:t>”</w:t>
      </w:r>
      <w:r>
        <w:rPr>
          <w:rFonts w:ascii="Times New Roman;serif" w:hAnsi="Times New Roman;serif"/>
          <w:b w:val="false"/>
          <w:color w:val="000000"/>
          <w:sz w:val="24"/>
        </w:rPr>
        <w:t xml:space="preserve">) to the extent that such agreement is legally permissible. Without limitation to the foregoing, the Optionee agrees to execute a joint election with the Company, the form of such joint election being formally approved by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HMRC (the “Joint Election”), and any other required consent or election. The Optionee further agrees to execute such other joint elections as may be required between the Optionee and any successor to the Company and/or the Optionee’s employer. The Optionee further agrees that the Company and/or the Optionee’s employer may collect the Employer NICs from the Optionee by any of the means set forth in clause 6 of the Agreement. If the Optionee refuses to enter into a Joint Election prior to exercising this Stock Option or if approval of the Joint Election has been withdrawn by HMRC, this Stock Option shall become null and void without any liability to the Company and/or the Optionee’s employer and may not be exercised by the Optionee.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(c)As a further condition of the exercise of this Stock Option, the Optionee shall within 14 days of acquisition of any shares of Stock enter jointly with the Optionee’s employer into an election under Section 431 of the United Kingdom Income Tax (Earnings and Pensions) Act 2003 (“</w:t>
      </w:r>
      <w:r>
        <w:rPr>
          <w:rFonts w:ascii="Times New Roman;serif" w:hAnsi="Times New Roman;serif"/>
          <w:b/>
          <w:color w:val="000000"/>
          <w:sz w:val="24"/>
        </w:rPr>
        <w:t>Section 431</w:t>
      </w:r>
      <w:r>
        <w:rPr>
          <w:color w:val="000000"/>
        </w:rPr>
        <w:t xml:space="preserve"> </w:t>
      </w:r>
      <w:r>
        <w:rPr>
          <w:rFonts w:ascii="Times New Roman;serif" w:hAnsi="Times New Roman;serif"/>
          <w:b/>
          <w:color w:val="000000"/>
          <w:sz w:val="24"/>
        </w:rPr>
        <w:t>Election</w:t>
      </w:r>
      <w:r>
        <w:rPr>
          <w:color w:val="000000"/>
        </w:rPr>
        <w:t>”</w:t>
      </w:r>
      <w:r>
        <w:rPr>
          <w:rFonts w:ascii="Times New Roman;serif" w:hAnsi="Times New Roman;serif"/>
          <w:b w:val="false"/>
          <w:color w:val="000000"/>
          <w:sz w:val="24"/>
        </w:rPr>
        <w:t>) in the form determined by the employer with respect to such shares of Stock. The Optionee shall also make such arrangements as the Company may require for the satisfaction of any United Kingdom income tax or employee National Insurance contributions with respect to such acquisition of shares of Stock as may arise upon the making of such Section 431 Election.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13: NO COMPENSATION FOR LOSSES ON TERMINATION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13.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Compensation for losses on Termination</w:t>
      </w:r>
      <w:r>
        <w:rPr>
          <w:rFonts w:ascii="Times New Roman;serif" w:hAnsi="Times New Roman;serif"/>
          <w:b w:val="false"/>
          <w:color w:val="000000"/>
          <w:sz w:val="24"/>
        </w:rPr>
        <w:t>. Optionees shall have no right to compensation or damages on account of any loss in respect of any Award or the Plan where the loss arises (or is claimed to arise) in whole or in part from the termination of the Optionee’s Service Relationship with the Company or a Subsidiary. This exclusion of liability shall apply in whatever way termination of the Service Relationship occurs (whether lawful or not) and however compensation or damages are claimed.</w:t>
      </w:r>
    </w:p>
    <w:p>
      <w:pPr>
        <w:pStyle w:val="TextBody"/>
        <w:bidi w:val="0"/>
        <w:spacing w:before="0" w:after="200"/>
        <w:jc w:val="both"/>
        <w:rPr/>
      </w:pPr>
      <w:r>
        <w:rPr/>
      </w:r>
    </w:p>
    <w:p>
      <w:pPr>
        <w:pStyle w:val="TextBody"/>
        <w:bidi w:val="0"/>
        <w:spacing w:before="0" w:after="20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RESTRICTED STOCK AWARD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2513" w:type="dxa"/>
        <w:jc w:val="left"/>
        <w:tblInd w:w="0" w:type="dxa"/>
        <w:tblLayout w:type="fixed"/>
        <w:tblCellMar>
          <w:top w:w="28" w:type="dxa"/>
          <w:left w:w="28" w:type="dxa"/>
          <w:bottom w:w="28" w:type="dxa"/>
          <w:right w:w="28" w:type="dxa"/>
        </w:tblCellMar>
      </w:tblPr>
      <w:tblGrid>
        <w:gridCol w:w="656"/>
        <w:gridCol w:w="577"/>
        <w:gridCol w:w="581"/>
        <w:gridCol w:w="109"/>
        <w:gridCol w:w="109"/>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(the “Plan”) as amended through the date hereof, Pattern Group Inc. (the “Company”) hereby grants a Restricted Stock Award (an “Award”) to the Grantee named above. Upon acceptance of this Award, the Grantee shall receive the number of shares of Series A Common Stock, par value $0.001 per share (the “Stock”) of the Company specified above, subject to the restrictions and conditions set forth herein (including the terms and conditions for the Grantee’s country in the appendix attached hereto as Appendix A)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Award</w:t>
      </w:r>
      <w:r>
        <w:rPr>
          <w:rFonts w:ascii="Times New Roman;serif" w:hAnsi="Times New Roman;serif"/>
          <w:b w:val="false"/>
          <w:color w:val="000000"/>
          <w:sz w:val="24"/>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Restrictions and Conditions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Shares of Restricted Stock granted herein may not be sold, assigned, transferred, pledged or otherwise encumbered or disposed of by the Grantee prior to vesting.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Grantee’s Service Relationship with the Company or a Subsidiary is voluntarily or involuntarily terminated for any reason (including due to death or Disability) prior to vesting of shares of Restricted Stock granted herein, except as otherwise determined by the Administrator, all shares of Restricted Stock shall immediately and automatically be forfeited and returned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of Restricted Stock</w:t>
      </w:r>
      <w:r>
        <w:rPr>
          <w:rFonts w:ascii="Times New Roman;serif" w:hAnsi="Times New Roman;serif"/>
          <w:b w:val="false"/>
          <w:color w:val="000000"/>
          <w:sz w:val="24"/>
        </w:rPr>
        <w:t>. The restrictions and conditions in Paragraph 2 of this Agreement shall lapse as follows: ____________________________ (each such date, a “Vesting Date”), so long 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tbl>
      <w:tblPr>
        <w:tblW w:w="4894" w:type="dxa"/>
        <w:jc w:val="left"/>
        <w:tblInd w:w="0" w:type="dxa"/>
        <w:tblLayout w:type="fixed"/>
        <w:tblCellMar>
          <w:top w:w="28" w:type="dxa"/>
          <w:left w:w="28" w:type="dxa"/>
          <w:bottom w:w="28" w:type="dxa"/>
          <w:right w:w="28" w:type="dxa"/>
        </w:tblCellMar>
      </w:tblPr>
      <w:tblGrid>
        <w:gridCol w:w="124"/>
        <w:gridCol w:w="109"/>
        <w:gridCol w:w="109"/>
        <w:gridCol w:w="769"/>
        <w:gridCol w:w="769"/>
        <w:gridCol w:w="771"/>
        <w:gridCol w:w="109"/>
        <w:gridCol w:w="109"/>
        <w:gridCol w:w="109"/>
        <w:gridCol w:w="514"/>
        <w:gridCol w:w="514"/>
        <w:gridCol w:w="5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Shares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Subsequent to such Vesting Date or Dates, the shares of Stock on which all restrictions and conditions have lapsed shall no longer be deemed Restricted Stock. The Administrator may at any time accelerate the vesting schedule specified in this Paragraph 3.</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Dividends</w:t>
      </w:r>
      <w:r>
        <w:rPr>
          <w:rFonts w:ascii="Times New Roman;serif" w:hAnsi="Times New Roman;serif"/>
          <w:b w:val="false"/>
          <w:color w:val="000000"/>
          <w:sz w:val="24"/>
        </w:rPr>
        <w:t>. Dividends on shares of Restricted Stock shall be paid currently to the Grantee.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Award shall be subject to and governed by all the terms and conditions of the Plan, including the powers of the Administrator set forth in Section 2(b) of the Plan, and any additional terms and conditions for the Grantee’s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Grantee, is non-assignable and is not transferable in any manner, by operation of law or otherwise, other than by will or the laws of descent and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released to the Grantee, the number of shares of Stock necessary to satisfy the Federal, state and local taxes required by law to be withheld from the Grantee on account of such transfer.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Election Under Section 83(b)</w:t>
      </w:r>
      <w:r>
        <w:rPr>
          <w:rFonts w:ascii="Times New Roman;serif" w:hAnsi="Times New Roman;serif"/>
          <w:b w:val="false"/>
          <w:color w:val="000000"/>
          <w:sz w:val="24"/>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Clawback Acknowledgement</w:t>
      </w:r>
      <w:r>
        <w:rPr>
          <w:rFonts w:ascii="Times New Roman;serif" w:hAnsi="Times New Roman;serif"/>
          <w:b w:val="false"/>
          <w:color w:val="000000"/>
          <w:sz w:val="24"/>
        </w:rPr>
        <w:t xml:space="preserve">. The Grantee acknowledges that the Grantee may become subject to the Pattern Group Inc. Compensation Recovery Policy adopted pursuant to Rule 10D-1 promulgated under the Exchange Act and Nasdaq Rule 5608, or any successor rule (the “Clawback Policy”). The Grantee understands that if the Grantee is or becomes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(as defined in the Company’s Executive Severance Plan, as amended from time to time) or serve as a basis for a claim of constructive termination under any benefits or compensation arrangement applicable to the Grantee, or (ii) to constitute a breach of a contract or other arrangement to which the Grantee is a party. This Section 13 is a material term of this Agreement.</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426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38"/>
        <w:gridCol w:w="838"/>
        <w:gridCol w:w="118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RESTRICTED STOCK AWARD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Restricted Stock Award Agreement (the “Award Agreement”) or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Restricted Stock if the Grantee resides and/or works in one of the countries listed below. If the Grantee is a citizen or resident (or is considered as such for local law purposes) of a country other than the country in which the Grantee is currently residing and/or working, or if the Grantee transfers to another country after the Grant Date, the Administrator shall, in its discretion, determine to what extent the terms and conditions contained herein shall be applicable to the Grantee.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Grantee should be aware with respect to the Grantee’s participation in the Plan. Such laws are often complex and change frequently. As a result, the Company strongly recommends that the Grantee not rely on the information contained herein as the only source of information relating to the consequences of the Grantee’s participation in the Plan because the information may be out of date at a relevant time. In addition, the information is general in nature and may not apply to the Grantee’s particular situation, and the Company is not in a position to assure the Grantee of any particular result; therefore, the Grantee is advised to seek appropriate professional advice as to how the relevant laws in the Grantee’s country may apply to the Grantee’s individual situation.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Grantee is a citizen or resident (or is considered as such for local law purposes) of a country other than the country in which the Grantee is currently residing and/or working, or if the Grantee transfers to another country after the Grant Date, the notifications contained herein may not be applicable to the Grantee in the same manner.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Grantees in Australia.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14: SECURITIES LAW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94995"/>
                <wp:effectExtent l="0" t="0" r="0" b="0"/>
                <wp:wrapNone/>
                <wp:docPr id="206" name="Frame19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Restricted Stock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Grantee in connection with this grant is provided on the basis that the Grantee is a person to whom an offer of 'securities' and 'derivatives' may be made without a disclosure document (as those terms are defined in the Corporations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Grantee read all the documents given to the Grantee in relation to the Plan (including this Agreement) before deciding whether to participate in the Plan. In particular, the Grantee should satisfy his or herself that they have a sufficient understanding of the risks involved in acquiring the Restricted Stock granted to them and consider if participation in the grant of Restricted Stock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before="0" w:after="0"/>
        <w:jc w:val="both"/>
        <w:rPr/>
      </w:pPr>
      <w:r>
        <w:rPr/>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(i)constitutes financial product advice and any advice or information provided by the     Company in relation to this grant does not take into account the Grantee’s objectives,     financial situation or needs; and</w:t>
      </w:r>
    </w:p>
    <w:p>
      <w:pPr>
        <w:pStyle w:val="TextBody"/>
        <w:bidi w:val="0"/>
        <w:spacing w:before="0" w:after="0"/>
        <w:jc w:val="both"/>
        <w:rPr/>
      </w:pPr>
      <w:r>
        <w:rPr/>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(ii)should be taken to constitute a recommendation or statement of opinion that is intended to influence the Grantee in making a decision to participate in the Plan or participate in the grant of Restricted Stock.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The Grantee acknowledges and agrees that a copy of the Plan has been provided to the Grantee concurrently with this Agreement.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15: TAXES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Grantee is strongly advised to consult with their personal tax advisor regarding the taxation of their Restricted Stock and of any subsequent sale of their Stock. The Company has reporting obligations to the Australian Taxation Office, and the Grantee responsible for disclosing any taxable discount, in respect of any grant of Restricted Stock made under the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CANADA </w: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24"/>
        </w:rPr>
        <w:t xml:space="preserve">The rules of the Award Agreement apply in Canada with and subject to the following amendments and provisions for Grantees in Canada, which for greater certainty shall include those Grantees that are residents of Canada for purposes of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(Canada) (the “</w:t>
      </w:r>
      <w:r>
        <w:rPr>
          <w:rFonts w:ascii="Times New Roman;serif" w:hAnsi="Times New Roman;serif"/>
          <w:b/>
          <w:color w:val="000000"/>
          <w:sz w:val="24"/>
        </w:rPr>
        <w:t>Tax Act</w:t>
      </w:r>
      <w:r>
        <w:rPr>
          <w:color w:val="000000"/>
        </w:rPr>
        <w:t>”</w:t>
      </w:r>
      <w:r>
        <w:rPr>
          <w:rFonts w:ascii="Times New Roman;serif" w:hAnsi="Times New Roman;serif"/>
          <w:b w:val="false"/>
          <w:color w:val="000000"/>
          <w:sz w:val="24"/>
        </w:rPr>
        <w:t>) or are otherwise subject to tax in Canada by virtue of their employment (“</w:t>
      </w:r>
      <w:r>
        <w:rPr>
          <w:rFonts w:ascii="Times New Roman;serif" w:hAnsi="Times New Roman;serif"/>
          <w:b/>
          <w:color w:val="000000"/>
          <w:sz w:val="24"/>
        </w:rPr>
        <w:t>Canadian Employees</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2: RESTRICTIONS AND CONDITIONS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2(c) will be deleted and replaced with the following:</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If the Grantee’s Service Relationship with the Company or a Subsidiary is voluntarily or involuntarily terminated by either party (including due to death or Disability) prior to vesting of shares of Restricted Stock granted herein, except as otherwise determined by the Administrator, all shares of Restricted Stock shall immediately and automatically be forfeited as of the date of termination and returned to the Company. As used herein, “date of termination” means the later of: (i) the Grantee’s last day of providing services to or performing work with the Company (or Subsidiary as defined in the Plan); or (ii) the last day of any minimum statutory notice period (if applicable). For clarity, except the applicable minimum statutory notice period, no period of notice which may be required under contract or common law shall be included for purposes of determining the date of termination. Further the Restricted Stock are not part of normal or expected compensation or salary for any purposes, including, but not limited to, calculating any severance, resignation, termination, redundancy, end of service payments, bonuses, long-service awards, pension or retirement or welfare benefits or similar payments (or damages in lieu of same) and in no event should be considered as compensation for, or relating in any way to, past services for the Company or a Subsidiary. </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7: TAX WITHHOLDING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7 will be deleted and replaced with the following: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Tax Withholding.</w:t>
      </w:r>
      <w:r>
        <w:rPr>
          <w:color w:val="000000"/>
        </w:rPr>
        <w:t xml:space="preserve"> </w:t>
      </w:r>
      <w:r>
        <w:rPr>
          <w:rFonts w:ascii="Times New Roman;serif" w:hAnsi="Times New Roman;serif"/>
          <w:b w:val="false"/>
          <w:color w:val="000000"/>
          <w:sz w:val="24"/>
        </w:rPr>
        <w:t>The Grantee shall, not later than the date as of which the receipt of this Award becomes a taxable event for income tax purposes, pay to the Company or make arrangements satisfactory to the Administrator for payment of any Applicable Withholding Taxes required by law to be withheld on account of such taxable event. The Grantee hereby directs the Company to cause the required Applicable Withholding Taxes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Applicable Withholding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CHINA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Grantees in China.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7: Tax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7 will be deleted and replaced with the following:</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Grantee shall, not later than the date as of which the receipt of this Award becomes a taxable event for U.S. or non-U.S. tax purposes, pay to the Company or any applicable Affiliate (as defined in Section 1 of the Plan) or make arrangements satisfactory to the Administrator for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payment of any U.S. and non-U.S. federal, state, local or other taxes of any kind required by law to be withheld on account of such taxable event. Except in the case where an election is made pursuant to Paragraph 8 below, the Company and its Affiliates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rules of the Award Agreement apply in the Czech Republic with and subject to the following amendments and provisions for Grantees in the Czech Republic. All capitalized terms set out herein shall have the same meanings as set out in the Agreement,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2"/>
        </w:rPr>
      </w:pPr>
      <w:r>
        <w:rPr>
          <w:rFonts w:ascii="Times New Roman;serif" w:hAnsi="Times New Roman;serif"/>
          <w:b/>
          <w:color w:val="000000"/>
          <w:sz w:val="22"/>
        </w:rPr>
        <w:t>SECTION 11: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Section 11 will be deleted and replaced with the following:</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2"/>
          <w:u w:val="single"/>
        </w:rPr>
        <w:t>Data Privacy</w:t>
      </w:r>
      <w:r>
        <w:rPr>
          <w:rFonts w:ascii="Times New Roman;serif" w:hAnsi="Times New Roman;serif"/>
          <w:b w:val="false"/>
          <w:color w:val="000000"/>
          <w:sz w:val="22"/>
        </w:rPr>
        <w:t>.    By participating in the Plan, the Grantee acknowledges that the Company, its Subsidiaries and Affiliates and certain agents thereof (together, the “</w:t>
      </w:r>
      <w:r>
        <w:rPr>
          <w:rFonts w:ascii="Times New Roman;serif" w:hAnsi="Times New Roman;serif"/>
          <w:b/>
          <w:color w:val="000000"/>
          <w:sz w:val="22"/>
        </w:rPr>
        <w:t>Relevant Companies</w:t>
      </w:r>
      <w:r>
        <w:rPr>
          <w:color w:val="000000"/>
        </w:rPr>
        <w:t>”</w:t>
      </w:r>
      <w:r>
        <w:rPr>
          <w:rFonts w:ascii="Times New Roman;serif" w:hAnsi="Times New Roman;serif"/>
          <w:b w:val="false"/>
          <w:color w:val="000000"/>
          <w:sz w:val="22"/>
        </w:rPr>
        <w:t>) may process the Grantee’s personal information including but not limited to name, surname, home address and telephone number, date of birth, remuneration information and other personal information that is necessary for the purposes relating to the fulfilment of the Agreement and the operation of the Plan (the “</w:t>
      </w:r>
      <w:r>
        <w:rPr>
          <w:rFonts w:ascii="Times New Roman;serif" w:hAnsi="Times New Roman;serif"/>
          <w:b/>
          <w:color w:val="000000"/>
          <w:sz w:val="22"/>
        </w:rPr>
        <w:t>Relevant Information</w:t>
      </w:r>
      <w:r>
        <w:rPr>
          <w:color w:val="000000"/>
        </w:rPr>
        <w:t>”</w:t>
      </w:r>
      <w:r>
        <w:rPr>
          <w:rFonts w:ascii="Times New Roman;serif" w:hAnsi="Times New Roman;serif"/>
          <w:b w:val="false"/>
          <w:color w:val="000000"/>
          <w:sz w:val="22"/>
        </w:rPr>
        <w:t>) whereas the Company shall be the controller in relation to such processing. The purposes include but are not limited to: (a) taking necessary actions pursuant to the Agreement; (b) administering and maintaining the Grantee’s records; (c) providing any required information to other Relevant Companies, trustees or third-party administrators; (d) operating, evaluating and amending the Plan. To the extent allowed by applicable law,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as the Relevant Companies consider appropriate. Further conditions of processing of Relevant Information and information about Grantee´s rights in that relation are set out in the Company’s Privacy Policy available at https://www.pattern.com/legal/privacy-policy with which the Grantee became acquainted.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14: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xml:space="preserve">. It is important that the Grantee reads all the documents given to the Grantee in relation to the Plan (including this Agreement) before deciding whether to participate in the Plan. In particular, the Grantee should satisfy his or herself that they have sufficient understanding of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risks involved and consider if participation in the Plan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15: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Grantee’s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Grantee in making a decision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16: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Grantee is strongly advised to consult with their personal tax advisor regarding the tax treatment of their participation on the Plan and of any subsequent transfer of instruments obtained pursuant to this Agreement and the Plan. The Grantee is responsible for proper taxation pursuant to relevant Czech law of any income the Grantee obtains by participating on the Plan including any taxable discount.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INDIA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India with and subject to the following amendments and provisions for Grantees in India.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6 will be deleted and replaced with the following: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(b)Grantees who are Indian residents are liable to pay taxes when they receive the shares of Common Stock. For the purposes of determining the amount of withholding tax, the fair market value of the shares will be determined by a category - 1 merchant banker duly registered with the Securities and Exchange Board of India (“SEBI”) as on the date of purchase/allotment of securities, as per the prevailing income tax law in India. Grantee hereby agrees to pay taxes by any of the methods prescribed in the Plan on the difference between fair market value and purchase price paid by Grantee. Grantee shall also be responsible to pay tax on subsequent sale of shares at the applicable rates prevailing at the time of sale. Grantee is also responsible to pay taxes on dividend income at the applicable rates prevailing at the time of declaration/receipt. Neither the Company nor any Subsidiary or its Affiliates shall be responsible for the tax payable by Grantee on such subsequent sale. Grantee agrees that it is his/her responsibility to comply with the payment of taxes and compliance requirements and Grantee shall consult his/her personal advisor in this regard.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(c)Grantees who are Indian residents are required to declare any foreign bank accounts and any foreign financial assets in their annual income tax returns (in schedule FA: details of foreign assets and income from source outside India). Grantee is required to mandatorily file the tax returns if he/she has any assets outside India even if his/her income is below the threshold limit prescribed under the income tax law. Grantee shall be responsible for complying with this reporting obligation and should confer with his/her personal tax advisor to determine his/her obligations in this regard.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14: Securities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securities described in the Plan are being offered only to a select number of Grantees who, in respect of this Indian Supplement are employees of Pattern Technologies India Private Limited. Such Grantees may not be acting on behalf of or as an agent for, any other person or entity. Securities under the Plan will not be available for subscription or purchase by any other person or entity.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(b)The Plan, the Agreement, and any corresponding documents (together, the “</w:t>
      </w:r>
      <w:r>
        <w:rPr>
          <w:rFonts w:ascii="Times New Roman;serif" w:hAnsi="Times New Roman;serif"/>
          <w:b/>
          <w:color w:val="000000"/>
          <w:sz w:val="24"/>
        </w:rPr>
        <w:t>Plan Documents</w:t>
      </w:r>
      <w:r>
        <w:rPr>
          <w:color w:val="000000"/>
        </w:rPr>
        <w:t>”</w:t>
      </w:r>
      <w:r>
        <w:rPr>
          <w:rFonts w:ascii="Times New Roman;serif" w:hAnsi="Times New Roman;serif"/>
          <w:b w:val="false"/>
          <w:color w:val="000000"/>
          <w:sz w:val="24"/>
        </w:rPr>
        <w:t>), have neither been delivered for registration nor are they intended to be registered with any regulatory authorities in India. The Plan Documents are not intended for distribution and are meant solely for the consideration of the person to whom they are addressed and should not be reproduced by Grantee.</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(c)The shares issued granted pursuant to the Plan do not constitute a public offering of securities under the (Indian) Companies Act, 2013 and are available only to those individuals as indicated in the Plan. The Plan Documents do not invite offers from the public for subscription or purchase of the securities of any body corporate under any law for the time being in force in India. The Plan Documents have not been prepared in accordance with and are not intended to constitute a ‘prospectus’ for, a public offering of securities under the applicable companies and securities legislation in India, and the Plan Documents have not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been reviewed by any regulatory authority in India. The Plan Documents are intended only for Grantee’s personal use and not for distribution to any other persons.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(d)The website on which the Plan Documents are hosted is not a prospectus under the applicable laws for the time being in force in India. The Company or Subsidiary or Affiliate do not intend to market, promote, or invite offers for subscription or purchase of the securities of any body corporate by virtue of providing the Grantee with the Plan Documents. The information provided in the Plan Documents is for record purposes only.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(e)Any person who subscribes or purchases securities of any body corporate should consult their own investment advisers before making any investments. The Company or Pattern Technologies India Private Limited shall not be liable or responsible for any such investment decision made by any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15: EXCHANGE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15: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(a)Grantee shall be solely responsible to comply with all applicable laws including but not limited to the (Indian) Foreign Exchange Management Act, 1999 and the rules and regulations thereunder, in respect of grant, vesting and the sale of the shares of Common Stock acquired under the Plan. Grantee shall be required to comply with the applicable laws and requirements for remittance of monies from India. Should the Grantee sell the shares of Common Stock, Grantee acknowledges his/her obligation and agrees to: (i) repatriate to India, any proceeds from the sale of shares of Common Stock (or the receipt of any dividends to India) within 180 days of the date of sale, unless reinvested; and (ii) obtain a foreign inward remittance certificate (“</w:t>
      </w:r>
      <w:r>
        <w:rPr>
          <w:rFonts w:ascii="Times New Roman;serif" w:hAnsi="Times New Roman;serif"/>
          <w:b/>
          <w:color w:val="000000"/>
          <w:sz w:val="24"/>
        </w:rPr>
        <w:t>FIRC</w:t>
      </w:r>
      <w:r>
        <w:rPr>
          <w:color w:val="000000"/>
        </w:rPr>
        <w:t>”</w:t>
      </w:r>
      <w:r>
        <w:rPr>
          <w:rFonts w:ascii="Times New Roman;serif" w:hAnsi="Times New Roman;serif"/>
          <w:b w:val="false"/>
          <w:color w:val="000000"/>
          <w:sz w:val="24"/>
        </w:rPr>
        <w:t>) from the bank in which Grantee deposits the foreign currency and maintain the FIRC as an evidence of the repatriation of funds in the event the Reserve Bank of India (“</w:t>
      </w:r>
      <w:r>
        <w:rPr>
          <w:rFonts w:ascii="Times New Roman;serif" w:hAnsi="Times New Roman;serif"/>
          <w:b/>
          <w:color w:val="000000"/>
          <w:sz w:val="24"/>
        </w:rPr>
        <w:t>RBI</w:t>
      </w:r>
      <w:r>
        <w:rPr>
          <w:color w:val="000000"/>
        </w:rPr>
        <w:t>”</w:t>
      </w:r>
      <w:r>
        <w:rPr>
          <w:rFonts w:ascii="Times New Roman;serif" w:hAnsi="Times New Roman;serif"/>
          <w:b w:val="false"/>
          <w:color w:val="000000"/>
          <w:sz w:val="24"/>
        </w:rPr>
        <w:t>), the Company or Pattern Technologies India Private Limited request for proof of repatriation. It is Grantee’s responsibility to comply with exchange control laws in India including making necessary disclosures to the RBI. The Company or Subsidiary or Affiliate shall not be liable for any fines or penalties resulting from Grantee’s failure to comply with any applicable laws.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(b)In respect of any remittance of the monies from the India by Grantee and in respect of receiving funds for sale of the shares of Common Stock, it is Grantee’s responsibility to comply with the reporting requirements of the RBI, as per exchange control laws in India.</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JAPAN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Japan with and subject to the following amendments and provisions for Grantees in Japan.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11: DATA PRIVACY CONSENT</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Section 11 will be deleted and replaced with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limited to the Company’s offices located in the United States. Please refer to https://www.pattern.com/legal/privacy-policy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Singapore with and subject to the following amendments and provisions for Grantees in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11: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11 will be deleted and replaced with the following: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Grantee explicitly and unambiguously acknowledges and consents to the collection, use, disclosure and transfer, in electronic or other form, of Grantee’s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for the exclusive purpose of implementing, administering and managing Grantee’s participation in the Plan, and to implement or structure future equity grants. Grantee understands that the Personal Data may be transferred to any third parties assisting in the implementation, administration and management of the Plan, that these recipients may be located in Grantee’s country or elsewhere, in particular in the US, and that the recipient country may have different data privacy laws providing less protections of Grantee’s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Grantee may request a list of the names and addresses of any potential recipients of his/her Personal Data by contacting Jed Brunson, the Company’s Chief Information Officer. Grantee acknowledges that the recipients may receive, possess, process, use, retain and transfer the Personal Data, in electronic or other form, for the purposes of implementing, administering and managing Grantee’s participation in the Plan, including any requisite transfer of such Personal Data, as may be required to a broker or other third party with whom Grantee may elect to deposit any Stock acquired upon the vesting of Grantee’s Restricted Stock Unit. Grantee understands that Personal Data will be held only as long as is necessary to implement, administer and manage Grantee’s participation in the Plan. Grantee understands that the purposes for which Grantee’s Personal Data will be collected or held may continue to apply even in situations where Grantee’s employment with Grantee’s employer has been terminated or altered. Grantee may, at any time, view the Personal Data, request additional information about the storage and processing of the Personal Data, require any necessary amendments to the Personal Data or refuse or withdraw the consents herein, in any case without cost, by contacting Jed Brunson in writing.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14: RESTRICTION ON SALE OF SHARES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Grantee acknowledges and agrees that Stock acquired under the Plan prior to the twelve (12) month anniversary of the Grant Date may not be sold or otherwise offered for sale in Singapore, unless such sale or offer is made (i) more than twelve months after the Grant Date; or (ii) pursuant to the exemptions under Part 13 Division (1) Subdivision (4) (other than section 280) of the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15: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Grantee acknowledges and agrees that the Award is being granted to Grantee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16: CHIEF EXECUTIVE OFFICER AND DIRECTOR NOTIFICATION OBLIGATION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16:</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Grantee acknowledges that if Grantee is 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or a director, as defined under the Singapore Companies Act 1967 (“</w:t>
      </w:r>
      <w:r>
        <w:rPr>
          <w:rFonts w:ascii="Times New Roman;serif" w:hAnsi="Times New Roman;serif"/>
          <w:b/>
          <w:color w:val="000000"/>
          <w:sz w:val="24"/>
        </w:rPr>
        <w:t>Singapore Companies Act</w:t>
      </w:r>
      <w:r>
        <w:rPr>
          <w:color w:val="000000"/>
        </w:rPr>
        <w:t>”</w:t>
      </w:r>
      <w:r>
        <w:rPr>
          <w:rFonts w:ascii="Times New Roman;serif" w:hAnsi="Times New Roman;serif"/>
          <w:b w:val="false"/>
          <w:color w:val="000000"/>
          <w:sz w:val="24"/>
        </w:rPr>
        <w:t>) of a Singapore-incorporated subsidiary of the Company (“</w:t>
      </w:r>
      <w:r>
        <w:rPr>
          <w:rFonts w:ascii="Times New Roman;serif" w:hAnsi="Times New Roman;serif"/>
          <w:b/>
          <w:color w:val="000000"/>
          <w:sz w:val="24"/>
        </w:rPr>
        <w:t>Singapore Subsidiary</w:t>
      </w:r>
      <w:r>
        <w:rPr>
          <w:color w:val="000000"/>
        </w:rPr>
        <w:t>”</w:t>
      </w:r>
      <w:r>
        <w:rPr>
          <w:rFonts w:ascii="Times New Roman;serif" w:hAnsi="Times New Roman;serif"/>
          <w:b w:val="false"/>
          <w:color w:val="000000"/>
          <w:sz w:val="24"/>
        </w:rPr>
        <w:t xml:space="preserve">), Grantee is subject to certain disclosure requirements under the Singapore Companies Act. Among these requirements is an obligation to notify the Singapore Subsidiary in writing of any interest in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shares, debentures, rights, participatory interests (where Grantee is a director) or options in the Singapore Subsidiary and/or its “related corporation” as defined under the Singapore Companies Act, within two business days of (i) its acquisition or disposal, or (ii) becoming a CEO or a director, whichever is later. In addition, Grantee is also required to notify the Singapore Subsidiary in writing of any change in previously disclosed interest (e.g., when the Stock are sold) within two business days after the occurrence of the event giving rise to the change.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the Republic of Korea with and subject to the following amendments and provisions for Grantees in the Republic of Korea.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11: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11 will be deleted and replaced with the following: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Notwithstanding the foregoing, Grantees resident in the Republic of Korea must complete a separate jurisdiction-specific privacy consent form in order to be eligible to participate in the Plan and prior to entering into this Agreement.</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14: FOREIGN EXCHANGE OBLIGATIONS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u w:val="single"/>
        </w:rPr>
        <w:t>Foreign Exchange Obligations</w:t>
      </w:r>
      <w:r>
        <w:rPr>
          <w:rFonts w:ascii="Times New Roman;serif" w:hAnsi="Times New Roman;serif"/>
          <w:b w:val="false"/>
          <w:color w:val="000000"/>
          <w:sz w:val="24"/>
        </w:rPr>
        <w:t>. Should the Grantee be a Korea-resident consultant to Pattern Trading SK or persons or entities who render services to the Company or a Subsidiary or Affiliate thereof as an employee of a third-party staffing agency, professional employer organization or employer of record arrangement, they may be obliged to file a securities acquisition report with the Bank of Korea should the aggregate price of Stocks issued hereunder be equivalent to US$ 5,000 or more. The preparation and filing of any such report(s) shall be the sole responsibility of the Grantee.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ARAB EMIRATES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The rules of the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xml:space="preserve">) with and subject to the following amendments and provisions for Grantees in the UAE.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11: Data Privacy Consent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11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Grantee shall have access to, and the right to change, the Relevant Information. Relevant Information will only be used in accordance with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14: NATURE OF GRANT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Grantee acknowledges that the Awards, the Plan, the Agreement, this UAE Supplement and their participation in the Plan does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employing or engaging them, either directly or indirectly. The Grantee acknowledges that the Award and related benefits do not constitute a component of their “wages” for any legal purpose. Therefore, the Award and related benefits will not be included and/or considered for purposes of calculating any and all labour benefits, such as end of service gratuity and/or any other labour-related amounts which may be payable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15: SECURITIES LAW INFORMATION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Awards are being offered only to eligible employees or consultants of the Company and are in the nature of providing equity incentives to these individuals based in the UAE. The Agreement and this UAE Supplement is intended for distribution only to such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individuals and must not be delivered to, or relied on by, any other person. Prospective acquirers of the securities offered should conduct their own due diligence on the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16: DISCLAIMER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the Agreement,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Grantee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Grantee should, as a prospective stockholder, conduct their own due diligence on the securities. If the Grantee does not understand the contents of the award documentation, they should consult an authorized financial advisor.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17: GOVERNING LAW AND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17:</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Award,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Grantee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Grantee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terms of the Award Agreement apply in the United Kingdom with and subject to the following amendments and provisions for Grantees in the 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8: ELECTION UNDER SECTION 83(B)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Election under Section 431. As a condition of the receipt of this Restricted Stock, the Grantee shall within 14 days of receipt of any shares of Restricted Stock enter jointly with the Grantee’s employer into an election under Section 431 of the United Kingdom Income Tax (Earnings and Pensions) Act 2003 (“Section 431 Election”) in the form determined by the employer with respect to such shares of Restricted Stock. The Grantee shall also make such arrangements as the Company may require for the satisfaction of any United Kingdom income tax or National Insurance contributions with respect to such acquisition of shares of Restricted Stock as may arise upon the making of such Section 431 Election.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11: DATA PRIVACY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11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Data Privacy.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By participating in the Plan and acquiring the Restricted Stock, each Grantee acknowledges that the Company, its subsidiaries and affiliates and certain agents thereof (together, the “Relevant Companies”) may process the Grantee’s personal information for a number of purposes relating to the operation of the Plan, and in each case the Relevant Company shall be the controller in relation to such processing. These purposes include but are not limited to: (a) administering and maintaining the Grantee’s records; (b) providing any required information to other Relevant Companies, trustees of any employee benefit trust or third-party administrators; and (c) providing information to future purchasers or merger partners of the Company, the Grantee’s employer company, or the business in which the Grantee works. The Company, other Relevant Company, trustee or third-party administrator may also transfer information about the Grantee to countries or territories that may not provide the same statutory protection for the information as the UK and where data is transferred outside of the EU or UK, appropriate safeguards will be put in place.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basis for any processing of personal information about Grantees under the European Union’s General Data Protection Regulation (EU) (2016/679), as retained in UK law, the UK’s Data Protection Act 2018, the Data (Use and Access) Act 2025, the Privacy and Electronic Communications Regulations (SI 2003 No. 2426 as amended) (or any successor laws) is set out in the Company’s Personnel Privacy Notice (the “Privacy Notice”) available upon request. The Privacy Notice also contains more details about how a Grantee’s personal information is processed and the Grantee's rights in relation to that information. The Grantee has the right to review the Privacy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14: RESPONSIBILITY FOR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Responsibility for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Without limitation to clause 7 of the Agreement, the Grantee accepts liability for all income tax, national insurance contributions and other tax-related items relating to the Grantee’s participation in the Plan which are applicable to the Restricted Stock or any dividends paid on the Restricted Stock (“Tax-Related Items”) and hereby covenants to pay all such Tax-Related Items, as and when requested by the Company or the Grantee’s employer or by His Majesty’s Revenue and Customs (“HMRC”) (or any other tax authority or any other relevant authority). The Grantee also agrees to indemnify and keep indemnified the Company and the Grantee’s employer against any Tax-Related Items that they are required to pay or withhold or have paid or will pay to HMRC (or any other tax authority or any other relevant authority) on the Grantee’s behalf.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As a condition of participation in the Plan and the acquisition of Restricted Stock, the Grantee agrees to accept any liability for secondary Class 1 National Insurance Contributions which may be payable by the Company and/or the Grantee’s employer in connection with the Restricted Stock (the “Employer NICs”) to the extent that such agreement is legally permissible. Without limitation to the foregoing, the Grantee agrees to execute a joint election with the Company, the form of such joint election being formally approved by HMRC (the “Joint Election”), and any other required consent or election. The Grantee further agrees to execute such other joint elections as may be required between the Grantee and any successor to the Company and/or the Grantee’s employer. The Grantee further agrees that the Company and/or the Grantee’s employer may collect the Employer NICs from the Grantee by any of the means set forth in clause 7 of the Agreement. If the Grantee refuses to enter into a Joint Election prior to being granted the Restricted Stock or if approval of the Joint Election has been withdrawn by HMRC, this Award shall become null and void without any liability to the Company and/or the Grantee’s employer.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15: NO COMPENSATION FOR LOSSES ON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 Compensation for losses on Termination. Grantees shall have no right to compensation or damages on account of any loss in respect of any Award or the Plan where the loss arises (or is claimed to arise) in whole or in part from the termination of the Grantee’s Service Relationship with the Company or a Subsidiary. This exclusion of liability shall apply in whatever way termination of the Service Relationship occurs (whether lawful or not) and however compensation or damages are claimed.</w:t>
      </w:r>
    </w:p>
    <w:p>
      <w:pPr>
        <w:pStyle w:val="TextBody"/>
        <w:bidi w:val="0"/>
        <w:spacing w:before="0" w:after="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RESTRICTED STOCK UNIT AWARD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COMPANY CONSULTANTS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3729" w:type="dxa"/>
        <w:jc w:val="left"/>
        <w:tblInd w:w="0" w:type="dxa"/>
        <w:tblLayout w:type="fixed"/>
        <w:tblCellMar>
          <w:top w:w="28" w:type="dxa"/>
          <w:left w:w="28" w:type="dxa"/>
          <w:bottom w:w="28" w:type="dxa"/>
          <w:right w:w="28" w:type="dxa"/>
        </w:tblCellMar>
      </w:tblPr>
      <w:tblGrid>
        <w:gridCol w:w="1096"/>
        <w:gridCol w:w="964"/>
        <w:gridCol w:w="970"/>
        <w:gridCol w:w="109"/>
        <w:gridCol w:w="109"/>
        <w:gridCol w:w="109"/>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Vesting Commencement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an award of the number of Restricted Stock Units listed above (an “Award”) to the Grantee named above subject to the terms and conditions set forth herein (including the terms and conditions for the Grantee’s country in the appendix attached hereto as Appendix A) and in the Plan. Each Restricted Stock Unit shall relate to one share of Series A Common Stock, par value $0.001 per share (the “Stock”)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as follows: __________________________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w:t>
      </w:r>
    </w:p>
    <w:tbl>
      <w:tblPr>
        <w:tblW w:w="5885" w:type="dxa"/>
        <w:jc w:val="left"/>
        <w:tblInd w:w="0" w:type="dxa"/>
        <w:tblLayout w:type="fixed"/>
        <w:tblCellMar>
          <w:top w:w="28" w:type="dxa"/>
          <w:left w:w="28" w:type="dxa"/>
          <w:bottom w:w="28" w:type="dxa"/>
          <w:right w:w="28" w:type="dxa"/>
        </w:tblCellMar>
      </w:tblPr>
      <w:tblGrid>
        <w:gridCol w:w="124"/>
        <w:gridCol w:w="109"/>
        <w:gridCol w:w="109"/>
        <w:gridCol w:w="979"/>
        <w:gridCol w:w="979"/>
        <w:gridCol w:w="981"/>
        <w:gridCol w:w="109"/>
        <w:gridCol w:w="109"/>
        <w:gridCol w:w="109"/>
        <w:gridCol w:w="634"/>
        <w:gridCol w:w="634"/>
        <w:gridCol w:w="6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Restricted Stock Units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may at any time accelerate the vesting schedule specified in this Paragraph 2.</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and any additional terms and conditions for the Grantee’s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426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38"/>
        <w:gridCol w:w="838"/>
        <w:gridCol w:w="118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COMPANY CONSULTANTS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Restricted Stock Unit Agreement for Company Consultants (the “Award Agreement”) or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Restricted Stock Units if the Grantee resides and/or works in one of the countries listed below. If the Grantee is a citizen or resident (or is considered as such for local law purposes) of a country other than the country in which the Grantee is currently residing and/or working, or if the Grantee transfers to another country after the Grant Date, the Administrator shall, in its discretion, determine to what extent the terms and conditions contained herein shall be applicable to the Grantee.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Grantee should be aware with respect to the Grantee’s participation in the Plan. Such laws are often complex and change frequently. As a result, the Company strongly recommends that the Grantee not rely on the information contained herein as the only source of information relating to the consequences of the Grantee’s participation in the Plan because the information may be out of date at a relevant time. In addition, the information is general in nature and may not apply to the Grantee’s particular situation, and the Company is not in a position to assure the Grantee of any particular result; therefore, the Grantee is advised to seek appropriate professional advice as to how the relevant laws in the Grantee’s country may apply to the Grantee’s individual situation.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Grantee is a citizen or resident (or is considered as such for local law purposes) of a country other than the country in which the Grantee is currently residing and/or working, or if the Grantee transfers to another country after the Grant Date, the notifications contained herein may not be applicable to the Grantee in the same manner.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Grantees in Australia.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94995"/>
                <wp:effectExtent l="0" t="0" r="0" b="0"/>
                <wp:wrapNone/>
                <wp:docPr id="224" name="Frame2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11: SECURITIES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Restricted Stock Units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Grantee in connection with this grant is provided on the basis that the Grantee is a person to whom an offer of 'securities' and 'derivatives' may be made without a disclosure document (as those terms are defined in the Corporations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Grantee read all the documents given to the Grantee in relation to the Plan (including this Agreement) before deciding whether to participate in the Plan. In particular, the Grantee should satisfy his or herself that they have a sufficient understanding of the risks involved in acquiring the Restricted Stock Units granted to them and consider if participation in the grant of Restricted Stock Units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(i)constitutes financial product advice and any advice or information provided by the Company in relation to this grant does not take into account the Grantee’s objectives,     financial situation or needs;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(iii)should be taken to constitute a recommendation or statement of opinion that is intended to influence the Grantee in making a decision to participate in the Plan or participate in the grant of Restricted Stock Units.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The Grantee acknowledges and agrees that a copy of the Plan has been provided to the Grantee concurrently with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12: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Grantee is strongly advised to consult with their personal tax advisor regarding the taxation of their Restricted Stock Units and of any subsequent sale of their Stock. The Company has reporting obligations to the Australian Taxation Office, and the Grantee responsible for disclosing any taxable discount, in respect of any grant of Restricted Stock Units made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 xml:space="preserve">CHINA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Grantees in China. </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SECTION 6: SECTION 409A OF THE CODE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Grantee shall, not later than the date as of which the receipt of this Award becomes a taxable event for U.S. or non-U.S. tax purposes, pay to the Company or any applicable Affiliate (as defined in Section 1 of the Plan) or make arrangements satisfactory to the Administrator for payment of any U.S. and non-U.S. federal, state, local or other taxes of any kind required by law to be withheld on account of such taxable event. The Company and its Affiliates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for Company Consultants apply in the Czech Republic with and subject to the following amendments and provisions for Grantees in the Czech Republic. All capitalized terms set out herein shall have the same meanings as set out in the Agreement,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319"/>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Grantee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the Grantee’s personal information including but not limited to name, surname, home address and telephone number, date of birth, remuneration information and other personal information that is necessary for the purposes relating to the fulfilment of the Agreement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xml:space="preserve">) whereas the Company shall be the controller in relation to such processing. The purposes include but are not limited to: (a) taking necessary actions pursuant to the Agreement; (b) administering and maintaining the Grantee’s records; (c) providing any required information to other Relevant Companies, trustees or third-party administrators; (d) operating, evaluating and amending the Plan. To the extent allowed by applicable law, the Grantee (i) authorizes the Company to collect, process, register and transfer to the Relevant Companies all Relevant Information; (ii) waives any privacy rights the Grantee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may have with respect to the Relevant Information; (iii) authorizes the Relevant Companies to store and transmit such information in electronic form; and (iv) authorizes the transfer of the Relevant Information to any jurisdiction as the Relevant Companies consider appropriate. Further conditions of processing of Relevant Information and information about Grantee´s rights in that relation are set out in the Company’s Privacy Policy available at https://www.pattern.com/legal/privacy-policy with which the Grantee became acquainted.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11: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Grantee reads all the documents given to the Grantee in relation to the Plan (including this Agreement) before deciding whether to participate in the Plan. In particular, the Grantee should satisfy his or herself that they have sufficient understanding of the risks involved and consider if participation in the Plan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12: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Grantee’s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Grantee in making a decision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13: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Grantee is strongly advised to consult with their personal tax advisor regarding the tax treatment of their participation on the Plan and of any subsequent transfer of instruments obtained pursuant to this Agreement and the Plan. The Grantee is responsible for proper taxation pursuant to relevant Czech law of any income the Grantee obtains by participating on the Plan including any taxable discount.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center"/>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Japan with and subject to the following amendments and provisions for Grantees in Japan.</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limited to the Company’s offices located in the United States. Please refer to https://www.pattern.com/legal/privacy-policy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Singapore with and subject to the following amendments and provisions for Grantees in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Grantee explicitly and unambiguously acknowledges and consents to the collection, use, disclosure and transfer, in electronic or other form, of Grantee’s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xml:space="preserve">) for the exclusive purpose of implementing, administering and managing Grantee’s participation in the Plan, and to implement or structure future equity grants. Grantee understands that the Personal Data may be transferred to any third parties assisting in the implementation, administration and management of the Plan, that these recipients may be located in Grantee’s country or elsewhere, in particular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in the US, and that the recipient country may have different data privacy laws providing less protections of Grantee’s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Grantee may request a list of the names and addresses of any potential recipients of his/her Personal Data by contacting Jed Brunson, the Company’s Chief Information Officer. Grantee acknowledges that the recipients may receive, possess, process, use, retain and transfer the Personal Data, in electronic or other form, for the purposes of implementing, administering and managing Grantee’s participation in the Plan, including any requisite transfer of such Personal Data, as may be required to a broker or other third party with whom Grantee may elect to deposit any Stock acquired upon the vesting of Grantee’s Restricted Stock Unit. Grantee understands that Personal Data will be held only as long as is necessary to implement, administer and manage Grantee’s participation in the Plan. Grantee understands that the purposes for which Grantee’s Personal Data will be collected or held may continue to apply even in situations where Grantee’s employment with Grantee’s employer has been terminated or altered. Grantee may, at any time, view the Personal Data, request additional information about the storage and processing of the Personal Data, require any necessary amendments to the Personal Data or refuse or withdraw the consents herein, in any case without cost, by contacting Jed Brunson in writing.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11: RESTRICTION ON SALE OF SHARES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Grantee acknowledges and agrees that Stock acquired under the Plan prior to the twelve (12) month anniversary of the Grant Date may not be sold or otherwise offered for sale in Singapore, unless such sale or offer is made (i) more than twelve months after the Grant Date; or (ii) pursuant to the exemptions under Part 13 Division (1) Subdivision (4) (other than section 280) of the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SECTION 12: SECURITIES LAW INFORMATION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Grantee acknowledges and agrees that the Award is being granted to Grantee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CHIEF EXECUTIVE OFFICER AND DIRECTOR NOTIFICATION OBLIGATION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Grantee acknowledges that if Grantee is 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or a director, as defined under the Singapore Companies Act 1967 (“</w:t>
      </w:r>
      <w:r>
        <w:rPr>
          <w:rFonts w:ascii="Times New Roman;serif" w:hAnsi="Times New Roman;serif"/>
          <w:b/>
          <w:color w:val="000000"/>
          <w:sz w:val="24"/>
        </w:rPr>
        <w:t>Singapore Companies Act</w:t>
      </w:r>
      <w:r>
        <w:rPr>
          <w:color w:val="000000"/>
        </w:rPr>
        <w:t>”</w:t>
      </w:r>
      <w:r>
        <w:rPr>
          <w:rFonts w:ascii="Times New Roman;serif" w:hAnsi="Times New Roman;serif"/>
          <w:b w:val="false"/>
          <w:color w:val="000000"/>
          <w:sz w:val="24"/>
        </w:rPr>
        <w:t>) of a Singapore-incorporated subsidiary of the Company (“</w:t>
      </w:r>
      <w:r>
        <w:rPr>
          <w:rFonts w:ascii="Times New Roman;serif" w:hAnsi="Times New Roman;serif"/>
          <w:b/>
          <w:color w:val="000000"/>
          <w:sz w:val="24"/>
        </w:rPr>
        <w:t>Singapore Subsidiary</w:t>
      </w:r>
      <w:r>
        <w:rPr>
          <w:color w:val="000000"/>
        </w:rPr>
        <w:t>”</w:t>
      </w:r>
      <w:r>
        <w:rPr>
          <w:rFonts w:ascii="Times New Roman;serif" w:hAnsi="Times New Roman;serif"/>
          <w:b w:val="false"/>
          <w:color w:val="000000"/>
          <w:sz w:val="24"/>
        </w:rPr>
        <w:t xml:space="preserve">), Grantee is subject to certain disclosure requirements under the Singapore Companies Act. Among these requirements is an obligation to notify the Singapore Subsidiary in writing of any interest in shares, debentures, rights, participatory interests (where Grantee is a director) or options in the Singapore Subsidiary and/or its “related corporation” as defined under the Singapore Companies Act, within two business days of (i) its acquisition or disposal, or (ii) becoming a CEO or a director, whichever is later. In addition, Grantee is also required to notify the Singapore Subsidiary in writing of any change in previously disclosed interest (e.g., when the Stock are sold) within two business days after the occurrence of the event giving rise to the change.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the Republic of Korea with and subject to the following amendments and provisions for Grantees in the Republic of Korea.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8: DATA PRIVACY CONSENT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8 will be deleted and replaced with the following:</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Notwithstanding the foregoing, Grantees resident in the Republic of Korea must complete a separate jurisdiction-specific privacy consent form in order to be eligible to participate in the Plan and prior to entering into this Agreement.</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11: FOREIGN EXCHANGE OBLIGATIONS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4"/>
          <w:u w:val="single"/>
        </w:rPr>
        <w:t>Foreign Exchange Obligations</w:t>
      </w:r>
      <w:r>
        <w:rPr>
          <w:rFonts w:ascii="Times New Roman;serif" w:hAnsi="Times New Roman;serif"/>
          <w:b w:val="false"/>
          <w:color w:val="000000"/>
          <w:sz w:val="24"/>
        </w:rPr>
        <w:t xml:space="preserve">. Should the Grantee be a Korea-resident consultant to Pattern Trading SK or persons or entities who render services to the Company or a Subsidiary or Affiliate thereof as an employee of a third-party staffing agency, professional employer organization or employer of record arrangement, they may be obliged to file a securities acquisition report with the Bank of Korea should the purchase price of Stocks issued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 equivalent to US$ 5,000 or more. The preparation and filing of any such report(s) shall be the sole responsibility of the Grantee.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ARAB EMIRATES </w: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24"/>
        </w:rPr>
        <w:t>The rules of the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xml:space="preserve">) with and subject to the following amendments and provisions for Grantees in the UAE. </w: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Grantee shall have access to, and the right to change, the Relevant Information. Relevant Information will only be used in accordance with applicable law.</w:t>
      </w:r>
    </w:p>
    <w:p>
      <w:pPr>
        <w:pStyle w:val="TextBody"/>
        <w:bidi w:val="0"/>
        <w:spacing w:before="0" w:after="0"/>
        <w:ind w:left="0" w:right="0" w:hanging="72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11: NATURE OF GRANT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Grantee acknowledges that the Awards, the Plan, the Agreement, this UAE Supplement and their participation in the Plan does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engaging them, either directly or indirectly. The Grantee acknowledges that they are a Consultant and not an employee of the Group and therefore that the Awards and related benefits do not constitute a component of their “wages” for any legal purpose. Therefore, the Awards and related benefits will not be included and/or considered for purposes of calculating any and all labour benefits, such as end of service gratuity and/or any other labour-related amounts which may be payable.</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SECTION 12: SECURITIES LAW INFORMATION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12:</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Awards are being offered only to eligible consultants of the Company and are in the nature of providing equity incentives to these employees based in the UAE. The Agreement is intended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distribution only to such eligible individuals and must not be delivered to, or relied on by, any other person. Prospective acquirers of the securities offered should conduct their own due diligence on the securities.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SECTION 13: DISCLAIMER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the Agreement and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Grantee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Grantee should, as a prospective stockholder, conduct their own due diligence on the securities. If the Grantee does not understand the contents of the award documentation, they should consult an authorized financial advisor.</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SECTION 14: GOVERNING LAW AND JURISDICTION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Award,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Grantee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Grantee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KINGDOM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terms of the Award Agreement apply in the United Kingdom with and subject to the following amendments and provisions for Grantees in the United Kingdom.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9: DATA PRIVACY CONSENT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Data Privacy.</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(a)By participating in the Plan and acquiring the Award, each Grantee acknowledges that the Company, its subsidiaries and affiliates and certain agents thereof (together, the “Relevant Companies”) may process the Grantee’s personal information for a number of purposes relating to the operation of the Plan, and in each case the Relevant Company shall be the controller in relation to such processing. These purposes include but are not limited to: (a) administering and maintaining the Grantee’s records; (b) providing any required information to other Relevant Companies, trustees of any employee benefit trust or third-party administrators; and (c) providing information to future purchasers or merger partners of the Company, the Grantee’s employer company, or the business in which the Grantee works. The Company, other Relevant Company, trustee or third-party administrator may also transfer information about the Grantee to countries or territories that may not provide the same statutory protection for the information as the UK and where data is transferred outside of the EU or UK, appropriate safeguards will be put in place.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(b)The basis for any processing of personal information about Grantees under the European Union’s General Data Protection Regulation (EU) (2016/679), as retained in UK law, the UK’s Data Protection Act 2018, the Data (Use and Access) Act 2025, the Privacy and Electronic Communications Regulations (SI 2003 No. 2426 as amended) (or any successor laws) is set out in the Company’s Personnel Privacy Notice (the “</w:t>
      </w:r>
      <w:r>
        <w:rPr>
          <w:rFonts w:ascii="Times New Roman;serif" w:hAnsi="Times New Roman;serif"/>
          <w:b/>
          <w:color w:val="000000"/>
          <w:sz w:val="24"/>
        </w:rPr>
        <w:t>Privacy Notice</w:t>
      </w:r>
      <w:r>
        <w:rPr>
          <w:color w:val="000000"/>
        </w:rPr>
        <w:t>”</w:t>
      </w:r>
      <w:r>
        <w:rPr>
          <w:rFonts w:ascii="Times New Roman;serif" w:hAnsi="Times New Roman;serif"/>
          <w:b w:val="false"/>
          <w:color w:val="000000"/>
          <w:sz w:val="24"/>
        </w:rPr>
        <w:t>) available upon request. The Privacy Notice also contains more details about how an Grantee’s personal information is processed and the Grantee's rights in relation to that information. The Grantee has the right to review the Privacy Notice.</w:t>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11: NO COMPENSATION FOR LOSSES ON TERMINATION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11.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Compensation for losses on Termination.</w:t>
      </w:r>
      <w:r>
        <w:rPr>
          <w:color w:val="000000"/>
          <w:u w:val="single"/>
        </w:rPr>
        <w:t xml:space="preserve"> </w:t>
      </w:r>
      <w:r>
        <w:rPr>
          <w:rFonts w:ascii="Times New Roman;serif" w:hAnsi="Times New Roman;serif"/>
          <w:b w:val="false"/>
          <w:color w:val="000000"/>
          <w:sz w:val="24"/>
        </w:rPr>
        <w:t>Grantees shall have no right to compensation or damages on account of any loss in respect of any Award or the Plan where the loss arises (or is claimed to arise) in whole or in part from the termination of the Grantee’s Service Relationship with the Company or a Subsidiary. This exclusion of liability shall apply in whatever way termination of the Service Relationship occurs (whether lawful or not) and however compensation or damages are claimed.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RESTRICTED STOCK UNIT AWARD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NON-EMPLOYEE DIRECTORS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3669" w:type="dxa"/>
        <w:jc w:val="left"/>
        <w:tblInd w:w="0" w:type="dxa"/>
        <w:tblLayout w:type="fixed"/>
        <w:tblCellMar>
          <w:top w:w="28" w:type="dxa"/>
          <w:left w:w="28" w:type="dxa"/>
          <w:bottom w:w="28" w:type="dxa"/>
          <w:right w:w="28" w:type="dxa"/>
        </w:tblCellMar>
      </w:tblPr>
      <w:tblGrid>
        <w:gridCol w:w="1074"/>
        <w:gridCol w:w="945"/>
        <w:gridCol w:w="951"/>
        <w:gridCol w:w="109"/>
        <w:gridCol w:w="10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as amended through the date hereof (the “Plan”), Pattern Group Inc. (the “Company”) hereby grants an award of the number of Restricted Stock Units listed above (an “Award”) to the Grantee named above. Each Restricted Stock Unit shall relate to one share of Series A Common Stock, par value $0.001 per share (the “Stock”)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as follows: ________________________ (each such date, a “Vesting Date” ), so long as the Grantee remains in a Service Relationship on such Vesting Dates. If a series of Vesting Dates is specified, then the restrictions and conditions in Paragraph 1 shall lapse only with respect to the number of Restricted Stock Units specified as vested on such date.</w:t>
      </w:r>
    </w:p>
    <w:tbl>
      <w:tblPr>
        <w:tblW w:w="5885" w:type="dxa"/>
        <w:jc w:val="left"/>
        <w:tblInd w:w="0" w:type="dxa"/>
        <w:tblLayout w:type="fixed"/>
        <w:tblCellMar>
          <w:top w:w="28" w:type="dxa"/>
          <w:left w:w="28" w:type="dxa"/>
          <w:bottom w:w="28" w:type="dxa"/>
          <w:right w:w="28" w:type="dxa"/>
        </w:tblCellMar>
      </w:tblPr>
      <w:tblGrid>
        <w:gridCol w:w="124"/>
        <w:gridCol w:w="109"/>
        <w:gridCol w:w="109"/>
        <w:gridCol w:w="979"/>
        <w:gridCol w:w="979"/>
        <w:gridCol w:w="981"/>
        <w:gridCol w:w="109"/>
        <w:gridCol w:w="109"/>
        <w:gridCol w:w="109"/>
        <w:gridCol w:w="634"/>
        <w:gridCol w:w="634"/>
        <w:gridCol w:w="6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Restricted Stock Units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in the event of a Sale Event, 100% of the then-outstanding and unvested Restricted Stock Units shall immediately be deemed vested on the date of such Sale Event; provided, that the Grantee remains in a Service Relationship until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Sale Event. The Administrator may at any time accelerate the vesting schedule specified in this Paragraph 2.</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as a Non-Employee Director</w:t>
      </w:r>
      <w:r>
        <w:rPr>
          <w:rFonts w:ascii="Times New Roman;serif" w:hAnsi="Times New Roman;serif"/>
          <w:b w:val="false"/>
          <w:color w:val="000000"/>
          <w:sz w:val="24"/>
        </w:rPr>
        <w:t>. If the Grantee’s service as a Non-Employee Director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426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38"/>
        <w:gridCol w:w="838"/>
        <w:gridCol w:w="118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RESTRICTED STOCK UNIT AWARD AGREEMENT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COMPANY EMPLOYEES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UNDER THE PATTERN GROUP INC.</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2025 EQUITY INCENTIVE PLAN</w:t>
      </w:r>
    </w:p>
    <w:tbl>
      <w:tblPr>
        <w:tblW w:w="3669" w:type="dxa"/>
        <w:jc w:val="left"/>
        <w:tblInd w:w="0" w:type="dxa"/>
        <w:tblLayout w:type="fixed"/>
        <w:tblCellMar>
          <w:top w:w="28" w:type="dxa"/>
          <w:left w:w="28" w:type="dxa"/>
          <w:bottom w:w="28" w:type="dxa"/>
          <w:right w:w="28" w:type="dxa"/>
        </w:tblCellMar>
      </w:tblPr>
      <w:tblGrid>
        <w:gridCol w:w="1074"/>
        <w:gridCol w:w="945"/>
        <w:gridCol w:w="951"/>
        <w:gridCol w:w="109"/>
        <w:gridCol w:w="10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Pattern Group Inc. 2025 Equity Incentive Plan as amended through the date hereof (the “Plan”), Pattern Group Inc. (the “Company”) hereby grants an award of the number of Restricted Stock Units listed above (an “Award”) to the Grantee named above subject to the terms and conditions set forth herein (including the terms and conditions for the Grantee’s country in the appendix attached hereto as Appendix A) and in the Plan. Each Restricted Stock Unit shall relate to one share of Series A Common Stock, par value $0.001</w:t>
      </w:r>
      <w:r>
        <w:rPr>
          <w:color w:val="000000"/>
        </w:rPr>
        <w:t xml:space="preserve"> </w:t>
      </w:r>
      <w:r>
        <w:rPr>
          <w:rFonts w:ascii="Times New Roman;serif" w:hAnsi="Times New Roman;serif"/>
          <w:b w:val="false"/>
          <w:color w:val="000000"/>
          <w:sz w:val="24"/>
        </w:rPr>
        <w:t>per share (the “Stock”)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as follows: __________________________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w:t>
      </w:r>
    </w:p>
    <w:tbl>
      <w:tblPr>
        <w:tblW w:w="5524" w:type="dxa"/>
        <w:jc w:val="left"/>
        <w:tblInd w:w="0" w:type="dxa"/>
        <w:tblLayout w:type="fixed"/>
        <w:tblCellMar>
          <w:top w:w="28" w:type="dxa"/>
          <w:left w:w="28" w:type="dxa"/>
          <w:bottom w:w="28" w:type="dxa"/>
          <w:right w:w="28" w:type="dxa"/>
        </w:tblCellMar>
      </w:tblPr>
      <w:tblGrid>
        <w:gridCol w:w="124"/>
        <w:gridCol w:w="109"/>
        <w:gridCol w:w="109"/>
        <w:gridCol w:w="979"/>
        <w:gridCol w:w="979"/>
        <w:gridCol w:w="981"/>
        <w:gridCol w:w="109"/>
        <w:gridCol w:w="109"/>
        <w:gridCol w:w="109"/>
        <w:gridCol w:w="514"/>
        <w:gridCol w:w="514"/>
        <w:gridCol w:w="5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Incremental Number of</w:t>
            </w:r>
          </w:p>
          <w:p>
            <w:pPr>
              <w:pStyle w:val="TableContents"/>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Restricted Stock Units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may at any time accelerate the vesting schedule specified in this Paragraph 2.</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and any additional terms and conditions for the Grantee’s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Clawback Acknowledgement</w:t>
      </w:r>
      <w:r>
        <w:rPr>
          <w:rFonts w:ascii="Times New Roman;serif" w:hAnsi="Times New Roman;serif"/>
          <w:b w:val="false"/>
          <w:color w:val="000000"/>
          <w:sz w:val="24"/>
        </w:rPr>
        <w:t xml:space="preserve">. The Grantee acknowledges that the Grantee may become subject to the Pattern Group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(as defined in the Company’s Executive Severance Plan, as amended from time to time) or serve as a basis for a claim of constructive termination under any benefits or compensation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to the Grantee, or (ii) to constitute a breach of a contract or other arrangement to which the Grantee is a party. This Section 12 is a material term of this Agreement.</w:t>
      </w:r>
    </w:p>
    <w:tbl>
      <w:tblPr>
        <w:tblW w:w="2439" w:type="dxa"/>
        <w:jc w:val="left"/>
        <w:tblInd w:w="0" w:type="dxa"/>
        <w:tblLayout w:type="fixed"/>
        <w:tblCellMar>
          <w:top w:w="28" w:type="dxa"/>
          <w:left w:w="28" w:type="dxa"/>
          <w:bottom w:w="28" w:type="dxa"/>
          <w:right w:w="28" w:type="dxa"/>
        </w:tblCellMar>
      </w:tblPr>
      <w:tblGrid>
        <w:gridCol w:w="124"/>
        <w:gridCol w:w="109"/>
        <w:gridCol w:w="109"/>
        <w:gridCol w:w="325"/>
        <w:gridCol w:w="325"/>
        <w:gridCol w:w="325"/>
        <w:gridCol w:w="325"/>
        <w:gridCol w:w="325"/>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Pattern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4269"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09"/>
        <w:gridCol w:w="109"/>
        <w:gridCol w:w="109"/>
        <w:gridCol w:w="838"/>
        <w:gridCol w:w="838"/>
        <w:gridCol w:w="118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COMPANY EMPLOYEES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PATTERN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2025 EQUITY INCENTIVE PLAN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unless explicitly defined in this Appendix, shall have the meanings given to them in the Restricted Stock Unit Agreement for Company Employees (the “Award Agreement”) or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Restricted Stock Units if the Grantee resides and/or works in one of the countries listed below. If the Grantee is a citizen or resident (or is considered as such for local law purposes) of a country other than the country in which the Grantee is currently residing and/or working, or if the Grantee transfers to another country after the Grant Date, the Administrator shall, in its discretion, determine to what extent the terms and conditions contained herein shall be applicable to the Grantee.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Appendix also may include information regarding securities, exchange control, tax and certain other issues of which the Grantee should be aware with respect to the Grantee’s participation in the Plan. Such laws are often complex and change frequently. As a result, the Company strongly recommends that the Grantee not rely on the information contained herein as the only source of information relating to the consequences of the Grantee’s participation in the Plan because the information may be out of date at a relevant time. In addition, the information is general in nature and may not apply to the Grantee’s particular situation, and the Company is not in a position to assure the Grantee of any particular result; therefore, the Grantee is advised to seek appropriate professional advice as to how the relevant laws in the Grantee’s country may apply to the Grantee’s individual situation.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Grantee is a citizen or resident (or is considered as such for local law purposes) of a country other than the country in which the Grantee is currently residing and/or working, or if the Grantee transfers to another country after the Grant Date, the notifications contained herein may not be applicable to the Grantee in the same manner.</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AUSTRALIA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Australia with and subject to the following amendments and provisions for Grantees in Australia.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94995"/>
                <wp:effectExtent l="0" t="0" r="0" b="0"/>
                <wp:wrapNone/>
                <wp:docPr id="242" name="Frame23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13: SECURITIES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Grants of Restricted Stock Units under this Agreement are made pursuant to applicable relief under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Corporations Act</w:t>
      </w:r>
      <w:r>
        <w:rPr>
          <w:rFonts w:ascii="Times New Roman;serif" w:hAnsi="Times New Roman;serif"/>
          <w:b w:val="false"/>
          <w:color w:val="000000"/>
          <w:sz w:val="24"/>
        </w:rPr>
        <w:t>). The documentation provided to the Grantee in connection with this grant is provided on the basis that the Grantee is a person to whom an offer of 'securities' and 'derivatives' may be made without a disclosure document (as those terms are defined in the Corporations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Grantee read all the documents given to the Grantee in relation to the Plan (including this Agreement) before deciding whether to participate in the Plan. In particular, the Grantee should satisfy his or herself that they have a sufficient understanding of the risks involved in acquiring the Restricted Stock Units granted to them and consider if participation in the grant of Restricted Stock Units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before="0" w:after="0"/>
        <w:jc w:val="both"/>
        <w:rPr/>
      </w:pPr>
      <w:r>
        <w:rPr/>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(i)constitutes financial product advice and any advice or information provided by the Company in relation to this grant does not take into account the Grantee’s objectives,     financial situation or needs; and</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(ii)should be taken to constitute a recommendation or statement of opinion that is intended to influence the Grantee in making a decision to participate in the Plan or participate in the grant of Restricted Stock Units.</w:t>
      </w:r>
    </w:p>
    <w:p>
      <w:pPr>
        <w:pStyle w:val="TextBody"/>
        <w:bidi w:val="0"/>
        <w:spacing w:lineRule="auto" w:line="288" w:before="0" w:after="0"/>
        <w:jc w:val="both"/>
        <w:rPr/>
      </w:pPr>
      <w:r>
        <w:rPr>
          <w:rFonts w:ascii="Times New Roman;serif" w:hAnsi="Times New Roman;serif"/>
          <w:b w:val="false"/>
          <w:color w:val="000000"/>
          <w:sz w:val="24"/>
          <w:u w:val="single"/>
        </w:rPr>
        <w:t>Plan</w:t>
      </w:r>
      <w:r>
        <w:rPr>
          <w:rFonts w:ascii="Times New Roman;serif" w:hAnsi="Times New Roman;serif"/>
          <w:b w:val="false"/>
          <w:color w:val="000000"/>
          <w:sz w:val="24"/>
        </w:rPr>
        <w:t>. The Grantee acknowledges and agrees that a copy of the Plan has been provided to the Grantee concurrently with this Agreement.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SECTION 14: TAXES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This grant is made on the basis that Subdivision 83A-C of the </w:t>
      </w:r>
      <w:r>
        <w:rPr>
          <w:rFonts w:ascii="Times New Roman;serif" w:hAnsi="Times New Roman;serif"/>
          <w:b w:val="false"/>
          <w:i/>
          <w:color w:val="000000"/>
          <w:sz w:val="24"/>
        </w:rPr>
        <w:t>Income Tax Assessment Act 1997</w:t>
      </w:r>
      <w:r>
        <w:rPr>
          <w:color w:val="000000"/>
        </w:rPr>
        <w:t xml:space="preserve"> </w:t>
      </w:r>
      <w:r>
        <w:rPr>
          <w:rFonts w:ascii="Times New Roman;serif" w:hAnsi="Times New Roman;serif"/>
          <w:b w:val="false"/>
          <w:color w:val="000000"/>
          <w:sz w:val="24"/>
        </w:rPr>
        <w:t>(Cth) (</w:t>
      </w:r>
      <w:r>
        <w:rPr>
          <w:rFonts w:ascii="Times New Roman;serif" w:hAnsi="Times New Roman;serif"/>
          <w:b/>
          <w:color w:val="000000"/>
          <w:sz w:val="24"/>
        </w:rPr>
        <w:t>Tax Act</w:t>
      </w:r>
      <w:r>
        <w:rPr>
          <w:rFonts w:ascii="Times New Roman;serif" w:hAnsi="Times New Roman;serif"/>
          <w:b w:val="false"/>
          <w:color w:val="000000"/>
          <w:sz w:val="24"/>
        </w:rPr>
        <w:t>) applies (subject to the requirements of the Tax Act). The Grantee is strongly advised to consult with their personal tax advisor regarding the taxation of their Restricted Stock Units and of any subsequent sale of their Stock. The Company has reporting obligations to the Australian Taxation Office, and the Grantee responsible for disclosing any taxable discount, in respect of any grant of Restricted Stock Units made under the Plan.</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CANADA </w:t>
      </w:r>
    </w:p>
    <w:p>
      <w:pPr>
        <w:pStyle w:val="TextBody"/>
        <w:bidi w:val="0"/>
        <w:spacing w:before="0" w:after="0"/>
        <w:jc w:val="center"/>
        <w:rPr/>
      </w:pPr>
      <w:r>
        <w:rPr/>
      </w:r>
    </w:p>
    <w:p>
      <w:pPr>
        <w:pStyle w:val="TextBody"/>
        <w:bidi w:val="0"/>
        <w:spacing w:lineRule="auto" w:line="288"/>
        <w:jc w:val="both"/>
        <w:rPr/>
      </w:pPr>
      <w:r>
        <w:rPr>
          <w:rFonts w:ascii="Times New Roman;serif" w:hAnsi="Times New Roman;serif"/>
          <w:b w:val="false"/>
          <w:color w:val="000000"/>
          <w:sz w:val="24"/>
        </w:rPr>
        <w:t xml:space="preserve">The rules of the Award Agreement apply in Canada with and subject to the following amendments and provisions for Grantees in Canada, which for greater certainty shall include those Grantees that are residents of Canada for purposes of the </w:t>
      </w:r>
      <w:r>
        <w:rPr>
          <w:rFonts w:ascii="Times New Roman;serif" w:hAnsi="Times New Roman;serif"/>
          <w:b w:val="false"/>
          <w:i/>
          <w:color w:val="000000"/>
          <w:sz w:val="24"/>
        </w:rPr>
        <w:t xml:space="preserve">Income Tax Act </w:t>
      </w:r>
      <w:r>
        <w:rPr>
          <w:rFonts w:ascii="Times New Roman;serif" w:hAnsi="Times New Roman;serif"/>
          <w:b w:val="false"/>
          <w:color w:val="000000"/>
          <w:sz w:val="24"/>
        </w:rPr>
        <w:t xml:space="preserve">(Canada) (the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 xml:space="preserve">Tax Act”) or are otherwise subject to tax in Canada by virtue of their employment (“Canadian Employees”).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3: TERMINATION OF SERVICE RELATIONSHIP</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3 will be deleted and replaced with the following:</w:t>
      </w:r>
    </w:p>
    <w:p>
      <w:pPr>
        <w:pStyle w:val="TextBody"/>
        <w:bidi w:val="0"/>
        <w:spacing w:lineRule="auto" w:line="288" w:before="240" w:after="240"/>
        <w:jc w:val="both"/>
        <w:rPr/>
      </w:pP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Grantee’s Service Relationship with the Company or a Subsidiary terminates for any reason (including death or Disability) prior to the satisfaction of the vesting conditions set forth in Paragraph 2 above, any Restricted Stock Units that have not vested as of the date of termination shall automatically and without notice terminate and be forfeited, and neither the Grantee nor any of his or her successors, heirs, assigns, or personal representatives will thereafter have any further rights or interests in such unvested Restricted Stock Units. As used herein, “date of termination” means the later of: (i) the Grantee’s last day of providing services to or performing work with the Company (or Subsidiary as defined in the Plan); or (ii) the last day of any minimum statutory notice period (if applicable). For clarity, except the applicable minimum statutory notice period, no period of notice which may be required under contract or common law shall be included for purposes of determining the date of termination. Further the Restricted Stock Units are not part of normal or expected compensation or salary for any purposes, including, but not limited to, calculating any severance, resignation, termination, redundancy, end of service payments, bonuses, long-service awards, pension or retirement or welfare benefits or similar payments (or damages in lieu of same) and in no event should be considered as compensation for, or relating in any way to, past services for the Company or a Subsidiary.</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4: ISSUANCE OF SHARES OF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4 will be deleted and replaced with the following: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xml:space="preserve">. As soon as practicable following each Vesting Date (but in no event later than December 31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6 will be deleted and replaced with the following: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u w:val="single"/>
        </w:rPr>
        <w:t>Tax Withholding.</w:t>
      </w:r>
      <w:r>
        <w:rPr>
          <w:color w:val="000000"/>
        </w:rPr>
        <w:t xml:space="preserve"> </w:t>
      </w:r>
      <w:r>
        <w:rPr>
          <w:rFonts w:ascii="Times New Roman;serif" w:hAnsi="Times New Roman;serif"/>
          <w:b w:val="false"/>
          <w:color w:val="000000"/>
          <w:sz w:val="24"/>
        </w:rPr>
        <w:t xml:space="preserve">The Grantee shall, not later than the date as of which the receipt of this Award becomes a taxable event for income tax purposes, pay to the Company or make arrangements satisfactory to the Administrator for payment of any Applicable Withholding Taxes required by law to be withheld on account of such taxable event. The Grantee hereby directs the Company to cause the required Applicable Withholding Taxes obligation to be satisfied, in whole or in part,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Applicable Withholding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CHINA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China with and subject to the following amendments and provisions for Grantees in China.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6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Grantee shall, not later than the date as of which the receipt of this Award becomes a taxable event for U.S. or non-U.S. tax purposes, pay to the Company or any applicable Affiliate (as defined in Section 1 of the Plan) or make arrangements satisfactory to the Administrator for payment of any U.S. and non-U.S. federal, state, local or other taxes of any kind required by law to be withheld on account of such taxable event. The Company and its Affiliates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for Company Employees apply in the Czech Republic with and subject to the following amendments and provisions for Grantees in the Czech Republic. All capitalized terms set out herein shall have the same meanings as set out in the Agreement,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319"/>
        <w:jc w:val="both"/>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Grantee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the Grantee’s personal information including but not limited to name, surname, home address and telephone number, date of birth, remuneration information and other personal information that is necessary for the purposes relating to the fulfilment of the Agreement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xml:space="preserve">) whereas the Company shall be the controller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in relation to such processing. The purposes include but are not limited to: (a) taking necessary actions pursuant to the Agreement; (b) administering and maintaining the Grantee’s records; (c) providing any required information to other Relevant Companies, trustees or third-party administrators; (d) operating, evaluating and amending the Plan. To the extent allowed by applicable law,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as the Relevant Companies consider appropriate. Further conditions of processing of Relevant Information and information about Grantee´s rights in that relation are set out in the Company’s Privacy Policy available at https://www.pattern.com/legal/privacy-policy with which the Grantee became acquainted.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13: RISK WARNING</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Grantee reads all the documents given to the Grantee in relation to the Plan (including this Agreement) before deciding whether to participate in the Plan. In particular, the Grantee should satisfy his or herself that they have sufficient understanding of the risks involved and consider if participation in the Plan is suitable for the Grantee, having regard to the Grantee’s investment objectives, financial circumstances and taxation position.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14: NO FINANCIAL ADVICE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Agreement or the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Grantee’s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Grantee in making a decision to participate in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SECTION 15: INCOME TAX</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xml:space="preserve">. Grantee is strongly advised to consult with their personal tax advisor regarding the tax treatment of their participation on the Plan and of any subsequent transfer of instruments obtained pursuant to this Agreement and the Plan. The Grantee is responsible for proper taxation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relevant Czech law of any income the Grantee obtains by participating on the Plan including any taxable discount.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INDIA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India with and subject to the following amendments and provisions for Grantees in India.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6: TAX WITHHOLDING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6 will be deleted and replaced with the following: </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(b)Grantees who are Indian residents are liable to pay taxes when they receive the shares of Common Stock. For the purposes of determining the amount of withholding tax, the fair market value of the shares will be determined by a category - 1 merchant banker duly registered with the Securities and Exchange Board of India (“SEBI”) as on the date of purchase/allotment of securities, as per the prevailing income tax law in India. Grantee hereby agrees to pay taxes by any of the methods prescribed in the Plan on the difference between fair market value and purchase price paid by Grantee. Grantee shall also be responsible to pay tax on subsequent sale of securities at the applicable rates prevailing at the time of sale. Grantee is also responsible to pay taxes on dividend income at the applicable rates prevailing at the time of declaration/receipt. Neither the Company nor any Subsidiary or its Affiliates shall be responsible for the tax payable by Grantee on such subsequent sale. Grantee agrees that it is his/her responsibility to comply with the payment of taxes and compliance requirements and Grantee shall consult his/her personal advisor in this regard.</w:t>
      </w:r>
    </w:p>
    <w:p>
      <w:pPr>
        <w:pStyle w:val="TextBody"/>
        <w:bidi w:val="0"/>
        <w:spacing w:before="0" w:after="0"/>
        <w:jc w:val="both"/>
        <w:rPr/>
      </w:pPr>
      <w:r>
        <w:rPr/>
      </w:r>
    </w:p>
    <w:p>
      <w:pPr>
        <w:pStyle w:val="TextBody"/>
        <w:bidi w:val="0"/>
        <w:spacing w:lineRule="auto" w:line="288"/>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(c)Grantees who are Indian residents are required to declare any foreign bank accounts and any foreign financial assets in their annual income tax returns (in schedule FA: details of foreign assets and income from source outside India). Grantee is required to mandatorily file the tax returns if he/she has any assets outside India even if his/her income is below the threshold limit prescribed under the income tax law. Grantee shall be responsible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complying with this reporting obligation and should confer with his/her personal tax advisor to determine his/her obligations in this regard.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13: SECURITIES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(a)The securities described in the Plan are being offered only to a select number of Grantees who, in respect of this Indian Supplement are employees of Pattern Technologies India Private Limited. Such Grantees may not be acting on behalf of or as an agent for, any other person or entity. Securities under the Plan will not be available for subscription or purchase by any other person or entity.</w:t>
      </w:r>
    </w:p>
    <w:p>
      <w:pPr>
        <w:pStyle w:val="TextBody"/>
        <w:bidi w:val="0"/>
        <w:spacing w:before="0" w:after="0"/>
        <w:ind w:left="0" w:right="0" w:hanging="270"/>
        <w:jc w:val="both"/>
        <w:rPr/>
      </w:pPr>
      <w:r>
        <w:rPr/>
      </w:r>
    </w:p>
    <w:p>
      <w:pPr>
        <w:pStyle w:val="TextBody"/>
        <w:bidi w:val="0"/>
        <w:spacing w:lineRule="auto" w:line="288" w:before="0" w:after="0"/>
        <w:ind w:left="0" w:right="0" w:hanging="567"/>
        <w:jc w:val="both"/>
        <w:rPr/>
      </w:pPr>
      <w:r>
        <w:rPr>
          <w:rFonts w:ascii="Times New Roman;serif" w:hAnsi="Times New Roman;serif"/>
          <w:b w:val="false"/>
          <w:color w:val="000000"/>
          <w:sz w:val="24"/>
        </w:rPr>
        <w:t>(b)The Plan, the Agreement, and any corresponding documents (together, the “</w:t>
      </w:r>
      <w:r>
        <w:rPr>
          <w:rFonts w:ascii="Times New Roman;serif" w:hAnsi="Times New Roman;serif"/>
          <w:b/>
          <w:color w:val="000000"/>
          <w:sz w:val="24"/>
        </w:rPr>
        <w:t>Plan Documents</w:t>
      </w:r>
      <w:r>
        <w:rPr>
          <w:color w:val="000000"/>
        </w:rPr>
        <w:t>”</w:t>
      </w:r>
      <w:r>
        <w:rPr>
          <w:rFonts w:ascii="Times New Roman;serif" w:hAnsi="Times New Roman;serif"/>
          <w:b w:val="false"/>
          <w:color w:val="000000"/>
          <w:sz w:val="24"/>
        </w:rPr>
        <w:t>), have neither been delivered for registration nor are they intended to be registered with any regulatory authorities in India. The Plan Documents are not intended for distribution and are meant solely for the consideration of the person to whom they are addressed and should not be reproduced by any Grantee.</w:t>
      </w:r>
    </w:p>
    <w:p>
      <w:pPr>
        <w:pStyle w:val="TextBody"/>
        <w:bidi w:val="0"/>
        <w:spacing w:before="0" w:after="0"/>
        <w:ind w:left="0" w:right="0" w:hanging="27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 xml:space="preserve">(c)The shares issued pursuant to the Plan do not constitute a public offering of securities under the (Indian) Companies Act, 2013 and are available only to those individuals as indicated in the Plan. The Plan Documents do not invite offers from the public for subscription or purchase of the securities of any body corporate under any law for the time being in force in India. The Plan Documents have not been prepared in accordance with and are not intended to constitute a ‘prospectus’ for, a public offering of securities under the applicable companies and securities legislation in India, and the Plan Documents have not been reviewed by any regulatory authority in India. The Plan Documents are intended only for Grantee’s personal use and not for distribution to any other persons. </w:t>
      </w:r>
    </w:p>
    <w:p>
      <w:pPr>
        <w:pStyle w:val="TextBody"/>
        <w:bidi w:val="0"/>
        <w:spacing w:before="0" w:after="0"/>
        <w:ind w:left="0" w:right="0" w:hanging="27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(d)The website on which the Plan Documents are hosted is not a prospectus under the applicable laws for the time being in force in India. The Company or Pattern Technologies India Private Limited do not intend to market, promote, or invite offers for subscription or purchase of the securities of any body corporate by virtue of providing the Grantee with the Plan Documents. The information provided in the Plan Documents is for record purposes only.</w:t>
      </w:r>
    </w:p>
    <w:p>
      <w:pPr>
        <w:pStyle w:val="TextBody"/>
        <w:bidi w:val="0"/>
        <w:spacing w:before="0" w:after="0"/>
        <w:ind w:left="0" w:right="0" w:hanging="27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(e)Any person who subscribes or purchases securities of any body corporate should consult their own investment advisers before making any investments. The Company or Pattern Technologies India Private Limited shall not be liable or responsible for any such investment decision made by any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14: EXCHANGE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14: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hanging="567"/>
        <w:jc w:val="both"/>
        <w:rPr/>
      </w:pPr>
      <w:r>
        <w:rPr>
          <w:rFonts w:ascii="Times New Roman;serif" w:hAnsi="Times New Roman;serif"/>
          <w:b w:val="false"/>
          <w:color w:val="000000"/>
          <w:sz w:val="24"/>
        </w:rPr>
        <w:t>(a)Grantee shall be solely responsible to comply with all applicable laws including but not limited to the (Indian) Foreign Exchange Management Act, 1999 and the rules and regulations thereunder, in respect of grant, vesting and the sale of the shares of Common Stock acquired under the Plan. Grantee shall be required to comply with the applicable laws and requirements for remittance of any monies from India. Should the Grantee sell the shares of Common Stock, Grantee acknowledges his/her obligation and agrees to: (i) repatriate to India, any proceeds from the sale of shares of Common Stock (or the receipt of any dividends to India) within 180 days of the date of sale, unless reinvested; and (ii) obtain a foreign inward remittance certificate (“</w:t>
      </w:r>
      <w:r>
        <w:rPr>
          <w:rFonts w:ascii="Times New Roman;serif" w:hAnsi="Times New Roman;serif"/>
          <w:b/>
          <w:color w:val="000000"/>
          <w:sz w:val="24"/>
        </w:rPr>
        <w:t>FIRC</w:t>
      </w:r>
      <w:r>
        <w:rPr>
          <w:color w:val="000000"/>
        </w:rPr>
        <w:t>”</w:t>
      </w:r>
      <w:r>
        <w:rPr>
          <w:rFonts w:ascii="Times New Roman;serif" w:hAnsi="Times New Roman;serif"/>
          <w:b w:val="false"/>
          <w:color w:val="000000"/>
          <w:sz w:val="24"/>
        </w:rPr>
        <w:t>) from the bank in which Grantee deposits the foreign currency and maintain the FIRC as an evidence of the repatriation of funds in the event the Reserve Bank of India (“</w:t>
      </w:r>
      <w:r>
        <w:rPr>
          <w:rFonts w:ascii="Times New Roman;serif" w:hAnsi="Times New Roman;serif"/>
          <w:b/>
          <w:color w:val="000000"/>
          <w:sz w:val="24"/>
        </w:rPr>
        <w:t>RBI</w:t>
      </w:r>
      <w:r>
        <w:rPr>
          <w:color w:val="000000"/>
        </w:rPr>
        <w:t>”</w:t>
      </w:r>
      <w:r>
        <w:rPr>
          <w:rFonts w:ascii="Times New Roman;serif" w:hAnsi="Times New Roman;serif"/>
          <w:b w:val="false"/>
          <w:color w:val="000000"/>
          <w:sz w:val="24"/>
        </w:rPr>
        <w:t>), the Company or Subsidiary request for proof of repatriation. It is Grantee’s responsibility to comply with exchange control laws in India including making necessary disclosures to the RBI. The Company and Pattern Technologies India Private Limited shall not be liable for any fines or penalties resulting from Grantee’s failure to comply with any applicable laws.</w:t>
      </w:r>
    </w:p>
    <w:p>
      <w:pPr>
        <w:pStyle w:val="TextBody"/>
        <w:bidi w:val="0"/>
        <w:spacing w:before="0" w:after="0"/>
        <w:jc w:val="both"/>
        <w:rPr/>
      </w:pPr>
      <w:r>
        <w:rPr/>
      </w:r>
    </w:p>
    <w:p>
      <w:pPr>
        <w:pStyle w:val="TextBody"/>
        <w:bidi w:val="0"/>
        <w:spacing w:lineRule="auto" w:line="288" w:before="0" w:after="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(b)In respect of any remittance of the monies from the India by Grantee and in respect of receiving funds for sale of the shares of Common Stock, it is Grantee’s responsibility to comply with the reporting requirements of the RBI, as per exchange control laws in India.</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Japan with and subject to the following amendments and provisions for Grantees in Japan.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The Relevant Companies may store such personal information internally and may also store at, and jointly use, transfer to and from, any foreign or domestic third party vendor and any Company affiliate, including but not limited to the Company’s offices located in the United States. Please refer to https://</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www.pattern.com/legal/privacy-policy for the measures to be taken to protect the personal data. For international data transfers to the United States, the information with respect to the applicable privacy protection system of personal data in the United States can be found here at: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https://www.ppc.go.jp/files/pdf/USA_report.pdf(Federal),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https://www.ppc.go.jp/files/pdf/california_report.pdf (California)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https://www.ppc.go.jp/files/pdf/newyork_report.pdf (New York)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https://www.ppc.go.jp/files/pdf/illinoi_report.pdf (Illinois)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SINGAPORE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Award Agreement apply in Singapore with and subject to the following amendments and provisions for Grantees in Singapore.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Grantee explicitly and unambiguously acknowledges and consents to the collection, use, disclosure and transfer, in electronic or other form, of Grantee’s Personal Data as described in the Plan and/or this Agreement by and among, as applicable,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for the exclusive purpose of implementing, administering and managing Grantee’s participation in the Plan, and to implement or structure future equity grants. Grantee understands that the Personal Data may be transferred to any third parties assisting in the implementation, administration and management of the Plan, that these recipients may be located in Grantee’s country or elsewhere, in particular in the US, and that the recipient country may have different data privacy laws providing less protections of Grantee’s Personal Data than Singapore, in which case the Company will ensure that such recipient(s) provide a standard of protection to such Personal Data so transferred that is comparable to the protection under the Singapore Personal Data Protection Act 2012 (“</w:t>
      </w:r>
      <w:r>
        <w:rPr>
          <w:rFonts w:ascii="Times New Roman;serif" w:hAnsi="Times New Roman;serif"/>
          <w:b/>
          <w:color w:val="000000"/>
          <w:sz w:val="24"/>
        </w:rPr>
        <w:t>PDPA</w:t>
      </w:r>
      <w:r>
        <w:rPr>
          <w:color w:val="000000"/>
        </w:rPr>
        <w:t>”</w:t>
      </w:r>
      <w:r>
        <w:rPr>
          <w:rFonts w:ascii="Times New Roman;serif" w:hAnsi="Times New Roman;serif"/>
          <w:b w:val="false"/>
          <w:color w:val="000000"/>
          <w:sz w:val="24"/>
        </w:rPr>
        <w:t xml:space="preserve">). Grantee may request a list of the names and addresses of any potential recipients of his/her Personal Data by contacting </w:t>
      </w:r>
      <w:r>
        <w:rPr>
          <w:rFonts w:ascii="Times New Roman;serif" w:hAnsi="Times New Roman;serif"/>
          <w:b w:val="false"/>
          <w:color w:val="000000"/>
          <w:sz w:val="22"/>
        </w:rPr>
        <w:t>Jed Brunson, the Company’s Chief Information Officer</w:t>
      </w:r>
      <w:r>
        <w:rPr>
          <w:rFonts w:ascii="Times New Roman;serif" w:hAnsi="Times New Roman;serif"/>
          <w:b w:val="false"/>
          <w:color w:val="000000"/>
          <w:sz w:val="24"/>
        </w:rPr>
        <w:t xml:space="preserve">. Grantee acknowledges that the recipients may receive, possess, process, use, retain and transfer the Personal Data, in electronic or other form, for the purposes of implementing, administering and managing Grantee’s participation in the Plan, including any requisite transfer of such Personal Data, as may be required to a broker or other third party with whom Grantee may elect to deposit any Stock acquired upon the vesting of Grantee’s Restricted Stock Unit. Grantee understands that Personal Data will be held only as long as is necessary to implement, administer and manage Grantee’s participation in the Plan. Grantee understands that the purposes for which Grantee’s Personal Data will be collected or held may continue to apply even in situations where Grantee’s employment with Grantee’s employer has been terminated or altered. Grantee may, at any time, view the Personal Data, request additional information about the storage and processing of the Personal Data, require any necessary amendments to the Personal Data or refuse or withdraw the consents herein, in any case without cost, by contacting </w:t>
      </w:r>
      <w:r>
        <w:rPr>
          <w:rFonts w:ascii="Times New Roman;serif" w:hAnsi="Times New Roman;serif"/>
          <w:b w:val="false"/>
          <w:color w:val="000000"/>
          <w:sz w:val="22"/>
        </w:rPr>
        <w:t>Jed Brunson</w:t>
      </w:r>
      <w:r>
        <w:rPr>
          <w:color w:val="000000"/>
        </w:rPr>
        <w:t xml:space="preserve"> </w:t>
      </w:r>
      <w:r>
        <w:rPr>
          <w:rFonts w:ascii="Times New Roman;serif" w:hAnsi="Times New Roman;serif"/>
          <w:b w:val="false"/>
          <w:color w:val="000000"/>
          <w:sz w:val="24"/>
        </w:rPr>
        <w:t xml:space="preserve">in writing.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For the purposes of this clause, “Personal Data” has the same meaning as set out in the PDPA.</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13: RESTRICTION ON SALE OF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Grantee acknowledges and agrees that Stock acquired under the Plan prior to the six (6) month anniversary of the Grant Date may not be sold or otherwise offered for sale in Singapore, unless such sale or offer is made (i) more than six months after the Grant Date; or (ii) pursuant to the exemptions under Part 13 Division (1) Subdivision (4) (other than section 280) of the Singapore Securities and Futures Act 2001 (“</w:t>
      </w:r>
      <w:r>
        <w:rPr>
          <w:rFonts w:ascii="Times New Roman;serif" w:hAnsi="Times New Roman;serif"/>
          <w:b/>
          <w:color w:val="000000"/>
          <w:sz w:val="24"/>
        </w:rPr>
        <w:t>SFA</w:t>
      </w:r>
      <w:r>
        <w:rPr>
          <w:color w:val="000000"/>
        </w:rPr>
        <w:t>”</w:t>
      </w:r>
      <w:r>
        <w:rPr>
          <w:rFonts w:ascii="Times New Roman;serif" w:hAnsi="Times New Roman;serif"/>
          <w:b w:val="false"/>
          <w:color w:val="000000"/>
          <w:sz w:val="24"/>
        </w:rPr>
        <w:t xml:space="preserve">) or pursuant to, and in accordance with the conditions of, any other applicable provision(s) of the SFA.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14: SECURITIES LAW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Grantee acknowledges and agrees that the Award is being granted to Grantee pursuant to the “qualifying person” exemption under section 273(1)(i), read with section 273(4) of the SFA. The Plan has not been, nor will it be, lodged or registered as a prospectus with the Monetary Authority of Singapore.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15: CHIEF EXECUTIVE OFFICER AND DIRECTOR NOTIFICATION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Grantee acknowledges that if Grantee is 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or a director, as defined under the Singapore Companies Act 1967 (“</w:t>
      </w:r>
      <w:r>
        <w:rPr>
          <w:rFonts w:ascii="Times New Roman;serif" w:hAnsi="Times New Roman;serif"/>
          <w:b/>
          <w:color w:val="000000"/>
          <w:sz w:val="24"/>
        </w:rPr>
        <w:t>Singapore Companies Act</w:t>
      </w:r>
      <w:r>
        <w:rPr>
          <w:color w:val="000000"/>
        </w:rPr>
        <w:t>”</w:t>
      </w:r>
      <w:r>
        <w:rPr>
          <w:rFonts w:ascii="Times New Roman;serif" w:hAnsi="Times New Roman;serif"/>
          <w:b w:val="false"/>
          <w:color w:val="000000"/>
          <w:sz w:val="24"/>
        </w:rPr>
        <w:t>) of a Singapore-incorporated subsidiary of the Company (“</w:t>
      </w:r>
      <w:r>
        <w:rPr>
          <w:rFonts w:ascii="Times New Roman;serif" w:hAnsi="Times New Roman;serif"/>
          <w:b/>
          <w:color w:val="000000"/>
          <w:sz w:val="24"/>
        </w:rPr>
        <w:t>Singapore Subsidiary</w:t>
      </w:r>
      <w:r>
        <w:rPr>
          <w:color w:val="000000"/>
        </w:rPr>
        <w:t>”</w:t>
      </w:r>
      <w:r>
        <w:rPr>
          <w:rFonts w:ascii="Times New Roman;serif" w:hAnsi="Times New Roman;serif"/>
          <w:b w:val="false"/>
          <w:color w:val="000000"/>
          <w:sz w:val="24"/>
        </w:rPr>
        <w:t xml:space="preserve">), Grantee is subject to certain disclosure requirements under the Singapore Companies Act. Among these requirements is an obligation to notify the Singapore Subsidiary in writing of any interest in shares, debentures, rights, participatory interests (where Grantee is a director) or options in the Singapore Subsidiary and/or its “related corporation” as defined under the Singapore Companies Act, within two business days of (i) its acquisition or disposal, or (ii) becoming a CEO or a director, whichever is later. In addition, Grantee is also required to notify the Singapore Subsidiary in writing of any change in previously disclosed interest (e.g., when the Stock are sold) within two business days after the occurrence of the event giving rise to the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SOUTH KOREA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Award Agreement apply in the Republic of Korea with and subject to the following amendments and provisions for Grantees in the Republic of Korea.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Data Privacy Consent.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Notwithstanding the foregoing, Grantees resident in the Republic of Korea must complete a separate jurisdiction-specific privacy consent form in order to be eligible to participate in the Plan and prior to entering into this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ARAB EMIRATES SUPPLEMENT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The rules of Award Agreement apply in the United Arab Emirates (“</w:t>
      </w:r>
      <w:r>
        <w:rPr>
          <w:rFonts w:ascii="Times New Roman;serif" w:hAnsi="Times New Roman;serif"/>
          <w:b/>
          <w:color w:val="000000"/>
          <w:sz w:val="24"/>
        </w:rPr>
        <w:t>UAE</w:t>
      </w:r>
      <w:r>
        <w:rPr>
          <w:color w:val="000000"/>
        </w:rPr>
        <w:t>”</w:t>
      </w:r>
      <w:r>
        <w:rPr>
          <w:rFonts w:ascii="Times New Roman;serif" w:hAnsi="Times New Roman;serif"/>
          <w:b w:val="false"/>
          <w:color w:val="000000"/>
          <w:sz w:val="24"/>
        </w:rPr>
        <w:t>) with and subject to the following amendments and provisions for Grantees in the UAE.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order to administer the Plan and this Agreement and to implement or structure future equity grants,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Grantee shall have access to, and the right to change, the Relevant Information. Relevant Information will only be used in accordance with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13: NATURE OF GRANT</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Grantee acknowledges that the Awards, the Plan, the Agreement, this UAE Supplement and their participation in the Plan does not create any claims against the Company or any Subsidiary (or employer of record) (collectively, the “</w:t>
      </w:r>
      <w:r>
        <w:rPr>
          <w:rFonts w:ascii="Times New Roman;serif" w:hAnsi="Times New Roman;serif"/>
          <w:b/>
          <w:color w:val="000000"/>
          <w:sz w:val="24"/>
        </w:rPr>
        <w:t>Group</w:t>
      </w:r>
      <w:r>
        <w:rPr>
          <w:color w:val="000000"/>
        </w:rPr>
        <w:t>”</w:t>
      </w:r>
      <w:r>
        <w:rPr>
          <w:rFonts w:ascii="Times New Roman;serif" w:hAnsi="Times New Roman;serif"/>
          <w:b w:val="false"/>
          <w:color w:val="000000"/>
          <w:sz w:val="24"/>
        </w:rPr>
        <w:t>) employing them, either directly or indirectly. The Grantee acknowledges that the Awards and related benefits do not constitute a component of their “wages” for any legal purpose. Therefore, the Awards and related benefits will not be included and/or considered for purposes of calculating any and all labour benefits, such as end of service gratuity and/or any other labour-related amounts which may be payable.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14: SECURITIES LAW INFORMATION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Awards are being offered only to eligible employees of the Company and are in the nature of providing equity incentives to these employees based in the UAE. The Agreement is intended for distribution only to such eligible employees and must not be delivered to, or relied on by, any other person. Prospective acquirers of the securities offered should conduct their own due diligence on the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15: DISCLAIMER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15:</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Plan, the Agreement and this UAE Supplement and any documents and agreements referred to therein have not been approved or licensed by the UAE Securities and Commodities Authority or any other relevant licensing authorities or governmental agencies in the UAE. The Plan, the Agreement and this UAE Supplement are strictly private and confidential and have not been reviewed by, deposited or registered with the UAE Securities and Commodities Authority or any other licensing authority or governmental agencies in the UAE. The Plan, the Agreement and this UAE Supplement have been issued from outside the UAE and must not be provided to any person other than the Grantee and may not be reproduced or used for any other purpose. Further, the information contained in this UAE Supplement, the Plan and/or the Agreement is not intended to lead to the issue of any securities or the conclusion of any other contract of whatsoever nature within the territory of the UAE. The Grantee should, as a prospective stockholder, conduct their own due diligence on the securities. If the Grantee does not understand the contents of the award documentation, they should consult an authorized financial advisor.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16: GOVERNING LAW AND JURISDICTION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16:</w:t>
      </w:r>
    </w:p>
    <w:p>
      <w:pPr>
        <w:pStyle w:val="TextBody"/>
        <w:bidi w:val="0"/>
        <w:spacing w:before="0" w:after="0"/>
        <w:ind w:left="0" w:right="0" w:hanging="72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dispute or controversy arising under or in connection with the Plan or this Award, at any time, shall be submitted to binding arbitration before a single arbitrator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JAMS Comprehensive Arbitration Rules &amp; Procedures then in effect, except for those claims that may not be subject to arbitration as a matter of law. These rules may be found through a web-based search, or a copy may be requested at any time from Company. The Company and Grantee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Grantee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terms of the Award Agreement apply in the United Kingdom with and subject to the following amendments and provisions for Grantees in the United Kingdom.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10: Data Privacy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10 will be deleted and replaced with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Privacy.</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(a)By participating in the Plan and acquiring the Award, each Grantee acknowledges that the Company, its subsidiaries and affiliates and certain agents thereof (together, the “Relevant Companies”) may process the Grantee’s personal information for a number of purposes relating to the operation of the Plan, and in each case the Relevant Company shall be the controller in relation to such processing. These purposes include but are not limited to: (a) administering and maintaining the Grantee’s records; (b) providing any required information to other Relevant Companies, trustees of any employee benefit trust or third-party administrators; and (c) providing information to future purchasers or merger partners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the Grantee’s employer company, or the business in which the Grantee works. The Company, other Relevant Company, trustee or third-party administrator may also transfer information about the Grantee to countries or territories that may not provide the same statutory protection for the information as the UK and where data is transferred outside of the EU or UK, appropriate safeguards will be put in place.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(b)The basis for any processing of personal information about Grantee under the European Union’s General Data Protection Regulation (EU) (2016/679), as retained in UK law, the UK’s Data Protection Act 2018, the Data (Use and Access) Act 2025, the Privacy and Electronic Communications Regulations (SI 2003 No. 2426 as amended) (the “</w:t>
      </w:r>
      <w:r>
        <w:rPr>
          <w:rFonts w:ascii="Times New Roman;serif" w:hAnsi="Times New Roman;serif"/>
          <w:b/>
          <w:color w:val="000000"/>
          <w:sz w:val="24"/>
        </w:rPr>
        <w:t>Privacy Notice</w:t>
      </w:r>
      <w:r>
        <w:rPr>
          <w:color w:val="000000"/>
        </w:rPr>
        <w:t>”</w:t>
      </w:r>
      <w:r>
        <w:rPr>
          <w:rFonts w:ascii="Times New Roman;serif" w:hAnsi="Times New Roman;serif"/>
          <w:b w:val="false"/>
          <w:color w:val="000000"/>
          <w:sz w:val="24"/>
        </w:rPr>
        <w:t>) available upon request. The Privacy Notice also contains more details about how a Grantee’s personal information is processed and the Grantee's rights in relation to that information. The Grantee has the right to review the Privacy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13: RESPONSIBILITY FOR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Responsibility for Taxes.</w:t>
      </w:r>
    </w:p>
    <w:p>
      <w:pPr>
        <w:pStyle w:val="TextBody"/>
        <w:bidi w:val="0"/>
        <w:spacing w:lineRule="auto" w:line="288" w:before="0" w:after="0"/>
        <w:ind w:left="0" w:right="0" w:hanging="360"/>
        <w:jc w:val="both"/>
        <w:rPr/>
      </w:pPr>
      <w:r>
        <w:rPr>
          <w:rFonts w:ascii="Times New Roman;serif" w:hAnsi="Times New Roman;serif"/>
          <w:b w:val="false"/>
          <w:color w:val="000000"/>
          <w:sz w:val="24"/>
        </w:rPr>
        <w:t>(a)Without limitation to clause 6 of the Agreement, the Grantee accepts liability for all income tax, national insurance contributions and other tax-related items relating to the Grantee’s participation in the Plan which are applicable to the Grantee (“</w:t>
      </w:r>
      <w:r>
        <w:rPr>
          <w:rFonts w:ascii="Times New Roman;serif" w:hAnsi="Times New Roman;serif"/>
          <w:b/>
          <w:color w:val="000000"/>
          <w:sz w:val="24"/>
        </w:rPr>
        <w:t>Tax-Related Items</w:t>
      </w:r>
      <w:r>
        <w:rPr>
          <w:color w:val="000000"/>
        </w:rPr>
        <w:t>”</w:t>
      </w:r>
      <w:r>
        <w:rPr>
          <w:rFonts w:ascii="Times New Roman;serif" w:hAnsi="Times New Roman;serif"/>
          <w:b w:val="false"/>
          <w:color w:val="000000"/>
          <w:sz w:val="24"/>
        </w:rPr>
        <w:t>) and hereby covenants to pay all such Tax-Related Items, as and when requested by the Company or the Grantee’s employer or by His Majesty’s Revenue and Customs (“HMRC”) (or any other tax authority or any other relevant authority). The Grantee also agrees to indemnify and keep indemnified the Company and the Grantee’s employer against any Tax-Related Items that they are required to pay or withhold or have paid or will pay to HMRC (or any other tax authority or any other relevant authority) on the Grantee’s behalf.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(b)As a condition of participation in the Plan and the vesting of this Award, the Grantee agrees to accept any liability for secondary Class 1 National Insurance Contributions which may be payable by the Company and/or the Grantee’s employer in connection with this Award (the “</w:t>
      </w:r>
      <w:r>
        <w:rPr>
          <w:rFonts w:ascii="Times New Roman;serif" w:hAnsi="Times New Roman;serif"/>
          <w:b/>
          <w:color w:val="000000"/>
          <w:sz w:val="24"/>
        </w:rPr>
        <w:t>Employer NICs</w:t>
      </w:r>
      <w:r>
        <w:rPr>
          <w:color w:val="000000"/>
        </w:rPr>
        <w:t>”</w:t>
      </w:r>
      <w:r>
        <w:rPr>
          <w:rFonts w:ascii="Times New Roman;serif" w:hAnsi="Times New Roman;serif"/>
          <w:b w:val="false"/>
          <w:color w:val="000000"/>
          <w:sz w:val="24"/>
        </w:rPr>
        <w:t xml:space="preserve">) to the extent that such agreement is legally permissible. Without limitation to the foregoing, the Grantee agrees to execute a joint election with the Company, the form of such joint election being formally approved by HMRC (the “Joint Election”), and any other required consent or election. The Grantee further agrees to execute such other joint elections as may be required between the Grantee and any successor to the Company and/or the Grantee’s employer. The Grantee further agrees that the Company and/or the Grantee’s employer may collect the Employer NICs from the Grantee by any of the means set forth in clause 6 of the Agreement. If the Grantee refuses to enter into a Joint Election prior to vesting of this Award or if approval of the Joint Election has been withdrawn by HMRC, this Award shall become null and void without any liability to the Company and/or the Grantee’s employer.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(c)As a further condition of the vesting of this Award, the Grantee shall within 14 days of acquisition of any shares of Stock enter jointly with the Grantee’s employer into an election under Section 431 of the United Kingdom Income Tax (Earnings and Pensions) Act 2003 (“</w:t>
      </w:r>
      <w:r>
        <w:rPr>
          <w:rFonts w:ascii="Times New Roman;serif" w:hAnsi="Times New Roman;serif"/>
          <w:b/>
          <w:color w:val="000000"/>
          <w:sz w:val="24"/>
        </w:rPr>
        <w:t>Section 431</w:t>
      </w:r>
      <w:r>
        <w:rPr>
          <w:color w:val="000000"/>
        </w:rPr>
        <w:t xml:space="preserve"> </w:t>
      </w:r>
      <w:r>
        <w:rPr>
          <w:rFonts w:ascii="Times New Roman;serif" w:hAnsi="Times New Roman;serif"/>
          <w:b/>
          <w:color w:val="000000"/>
          <w:sz w:val="24"/>
        </w:rPr>
        <w:t>Election</w:t>
      </w:r>
      <w:r>
        <w:rPr>
          <w:color w:val="000000"/>
        </w:rPr>
        <w:t>”</w:t>
      </w:r>
      <w:r>
        <w:rPr>
          <w:rFonts w:ascii="Times New Roman;serif" w:hAnsi="Times New Roman;serif"/>
          <w:b w:val="false"/>
          <w:color w:val="000000"/>
          <w:sz w:val="24"/>
        </w:rPr>
        <w:t>) in the form determined by the employer with respect to such shares of Stock. The Grantee shall also make such arrangements as the Company may require for the satisfaction of any United Kingdom income tax or National Insurance contributions with respect to such acquisition of shares of Stock as may arise upon the making of such Section 431 Election.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SECTION 14: NO COMPENSATION FOR LOSSES ON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shall be added as a new section 14.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 Compensation for losses on Termination.</w:t>
      </w:r>
      <w:r>
        <w:rPr>
          <w:color w:val="000000"/>
        </w:rPr>
        <w:t xml:space="preserve"> </w:t>
      </w:r>
      <w:r>
        <w:rPr>
          <w:rFonts w:ascii="Times New Roman;serif" w:hAnsi="Times New Roman;serif"/>
          <w:b w:val="false"/>
          <w:color w:val="000000"/>
          <w:sz w:val="24"/>
        </w:rPr>
        <w:t>Grantees shall have no right to compensation or damages on account of any loss in respect of any Award or the Plan where the loss arises (or is claimed to arise) in whole or in part from the termination of the Grantee’s Service Relationship with the Company or a Subsidiary. This exclusion of liability shall apply in whatever way termination of the Service Relationship occurs (whether lawful or not) and however compensation or damages are claimed.</w:t>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RESTRICTED STOCK AWARD AGREEMENT</w:t>
        <w:br/>
        <w:t>UNDER THE PATTERN GROUP INC.</w:t>
        <w:br/>
        <w:t>2025 EQUITY INCENTIVE PLAN</w:t>
      </w:r>
    </w:p>
    <w:p>
      <w:pPr>
        <w:pStyle w:val="TextBody"/>
        <w:bidi w:val="0"/>
        <w:spacing w:lineRule="auto" w:line="288" w:before="0" w:after="240"/>
        <w:jc w:val="left"/>
        <w:rPr/>
      </w:pPr>
      <w:r>
        <w:rPr>
          <w:rFonts w:ascii="Times New Roman;serif" w:hAnsi="Times New Roman;serif"/>
          <w:b w:val="false"/>
          <w:color w:val="000000"/>
          <w:sz w:val="24"/>
        </w:rPr>
        <w:t>Name of Grantee: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No. of Shares:    </w:t>
      </w:r>
      <w:r>
        <w:rPr>
          <w:color w:val="000000"/>
          <w:u w:val="single"/>
        </w:rPr>
        <w:t>    </w:t>
      </w:r>
    </w:p>
    <w:p>
      <w:pPr>
        <w:pStyle w:val="TextBody"/>
        <w:bidi w:val="0"/>
        <w:spacing w:lineRule="auto" w:line="288" w:before="0" w:after="480"/>
        <w:jc w:val="left"/>
        <w:rPr/>
      </w:pPr>
      <w:r>
        <w:rPr>
          <w:rFonts w:ascii="Times New Roman;serif" w:hAnsi="Times New Roman;serif"/>
          <w:b w:val="false"/>
          <w:color w:val="000000"/>
          <w:sz w:val="24"/>
        </w:rPr>
        <w:t>Grant Date:    </w:t>
      </w:r>
      <w:r>
        <w:rPr>
          <w:color w:val="000000"/>
          <w:u w:val="single"/>
        </w:rPr>
        <w: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Pattern Group Inc. 2025 Equity Incentive Plan (the “Plan”) as amended through the date hereof, Pattern Group Inc. (the “Company”) hereby grants a Restricted Stock Award (an “Award”) to the Grantee named above. Upon acceptance of this Award, the Grantee shall receive the number of shares of Series A Common Stock, par value $0.001 per share (the “Stock”) of the Company specified above, subject to the restrictions and conditions set forth herein (including the terms and conditions for the Grantee’s country in the appendix attached hereto as Appendix A)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Award</w:t>
      </w:r>
      <w:r>
        <w:rPr>
          <w:rFonts w:ascii="Times New Roman;serif" w:hAnsi="Times New Roman;serif"/>
          <w:b w:val="false"/>
          <w:color w:val="000000"/>
          <w:sz w:val="24"/>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Restrictions and Conditions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Shares of Restricted Stock granted herein may not be sold, assigned, transferred, pledged or otherwise encumbered or disposed of by the Grantee prior to vesting.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Grantee’s Service Relationship with the Company or a Subsidiary is voluntarily or involuntarily terminated for any reason (including due to death or Disability) prior to vesting of shares of Restricted Stock granted herein, except as otherwise determined by the Administrator, all shares of Restricted Stock shall immediately and automatically be forfeited and returned to the Company. </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of Restricted Stock</w:t>
      </w:r>
      <w:r>
        <w:rPr>
          <w:rFonts w:ascii="Times New Roman;serif" w:hAnsi="Times New Roman;serif"/>
          <w:b w:val="false"/>
          <w:color w:val="000000"/>
          <w:sz w:val="24"/>
        </w:rPr>
        <w:t xml:space="preserve">. The restrictions and conditions in Paragraph 2 of this Agreement shall lapse as follows: </w:t>
      </w:r>
      <w:r>
        <w:rPr>
          <w:rFonts w:ascii="Times New Roman;serif" w:hAnsi="Times New Roman;serif"/>
          <w:b w:val="false"/>
          <w:color w:val="000000"/>
          <w:sz w:val="24"/>
          <w:shd w:fill="FFFF00" w:val="clear"/>
        </w:rPr>
        <w:t>____________________________</w:t>
      </w:r>
      <w:r>
        <w:rPr>
          <w:color w:val="000000"/>
        </w:rPr>
        <w:t xml:space="preserve"> </w:t>
      </w:r>
      <w:r>
        <w:rPr>
          <w:rFonts w:ascii="Times New Roman;serif" w:hAnsi="Times New Roman;serif"/>
          <w:b w:val="false"/>
          <w:color w:val="000000"/>
          <w:sz w:val="24"/>
        </w:rPr>
        <w:t xml:space="preserve">(each such date, a “Vesting Date”), so long as the Grantee continues to have a Service Relationship with the Company or a Subsidiary on such Dates. If a series of Vesting Dates is specified, then the restrictions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594995"/>
                <wp:effectExtent l="0" t="0" r="0" b="0"/>
                <wp:wrapNone/>
                <wp:docPr id="257" name="Frame24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conditions in Paragraph 2 shall lapse only with respect to the number of shares of Restricted Stock specified as vested on such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w:t>
      </w:r>
    </w:p>
    <w:tbl>
      <w:tblPr>
        <w:tblW w:w="4034" w:type="dxa"/>
        <w:jc w:val="left"/>
        <w:tblInd w:w="0" w:type="dxa"/>
        <w:tblLayout w:type="fixed"/>
        <w:tblCellMar>
          <w:top w:w="28" w:type="dxa"/>
          <w:left w:w="28" w:type="dxa"/>
          <w:bottom w:w="28" w:type="dxa"/>
          <w:right w:w="28" w:type="dxa"/>
        </w:tblCellMar>
      </w:tblPr>
      <w:tblGrid>
        <w:gridCol w:w="886"/>
        <w:gridCol w:w="778"/>
        <w:gridCol w:w="780"/>
        <w:gridCol w:w="465"/>
        <w:gridCol w:w="465"/>
        <w:gridCol w:w="660"/>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 of</w:t>
            </w:r>
            <w:r>
              <w:rPr>
                <w:rFonts w:ascii="Times New Roman;serif" w:hAnsi="Times New Roman;serif"/>
                <w:b w:val="false"/>
                <w:color w:val="000000"/>
                <w:sz w:val="24"/>
                <w:u w:val="single"/>
              </w:rPr>
              <w:br/>
              <w:t>Shares Vested</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_____________</w:t>
            </w:r>
            <w:r>
              <w:rPr>
                <w:color w:val="000000"/>
              </w:rPr>
              <w:t xml:space="preserve"> </w:t>
            </w:r>
            <w:r>
              <w:rPr>
                <w:rFonts w:ascii="Times New Roman;serif" w:hAnsi="Times New Roman;serif"/>
                <w:b w:val="false"/>
                <w:color w:val="000000"/>
                <w:sz w:val="24"/>
              </w:rPr>
              <w:t>(___%)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Subsequent to such Vesting Date or Dates, the shares of Stock on which all restrictions and conditions have lapsed shall no longer be deemed Restricted Stock. The Administrator may at any time accelerate the vesting schedule specified in this Paragraph 3.</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Dividends</w:t>
      </w:r>
      <w:r>
        <w:rPr>
          <w:rFonts w:ascii="Times New Roman;serif" w:hAnsi="Times New Roman;serif"/>
          <w:b w:val="false"/>
          <w:color w:val="000000"/>
          <w:sz w:val="24"/>
        </w:rPr>
        <w:t>. Dividends on shares of Restricted Stock shall be paid currently to the Grantee.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Incorporation of Plan and Country Appendix</w:t>
      </w:r>
      <w:r>
        <w:rPr>
          <w:rFonts w:ascii="Times New Roman;serif" w:hAnsi="Times New Roman;serif"/>
          <w:b w:val="false"/>
          <w:color w:val="000000"/>
          <w:sz w:val="24"/>
        </w:rPr>
        <w:t>. Notwithstanding anything herein to the contrary, this Award shall be subject to and governed by all the terms and conditions of the Plan, including the powers of the Administrator set forth in Section 2(b) of the Plan, and any additional terms and conditions for the Grantee’s country set forth in Appendix A hereto, which constitutes part of this Agreement. Capitalized terms in this Agreement shall have the meaning specified in the Plan, unless a different meaning is specified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Grantee, is non-assignable and is not transferable in any manner, by operation of law or otherwise, other than by will or the laws of descent and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Election Under Section 83(b)</w:t>
      </w:r>
      <w:r>
        <w:rPr>
          <w:rFonts w:ascii="Times New Roman;serif" w:hAnsi="Times New Roman;serif"/>
          <w:b w:val="false"/>
          <w:color w:val="000000"/>
          <w:sz w:val="24"/>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805180"/>
                <wp:effectExtent l="0" t="0" r="0" b="0"/>
                <wp:wrapNone/>
                <wp:docPr id="258" name="Frame2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(including Appendix A) constitutes the entire agreement between the parties with respect to this Award and supersedes all prior agreements and discussions between the parties concerning such subject matter.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Clawback Acknowledgement</w:t>
      </w:r>
      <w:r>
        <w:rPr>
          <w:rFonts w:ascii="Times New Roman;serif" w:hAnsi="Times New Roman;serif"/>
          <w:b w:val="false"/>
          <w:color w:val="000000"/>
          <w:sz w:val="24"/>
        </w:rPr>
        <w:t xml:space="preserve">. The Grantee acknowledges that the Grantee may become subject to the Pattern Group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(as defined in the Company’s Executive Severance Plan, as amended from time to time) or serve as a basis for a claim of constructive termination under any benefits or compensation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805180"/>
                <wp:effectExtent l="0" t="0" r="0" b="0"/>
                <wp:wrapNone/>
                <wp:docPr id="259" name="Frame2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to the Grantee, or (ii) to constitute a breach of a contract or other arrangement to which the Grantee is a party. This Section 13 is a material term of this Agreement.</w:t>
      </w:r>
    </w:p>
    <w:p>
      <w:pPr>
        <w:pStyle w:val="TextBody"/>
        <w:bidi w:val="0"/>
        <w:spacing w:lineRule="auto" w:line="288" w:before="0" w:after="720"/>
        <w:jc w:val="both"/>
        <w:rPr>
          <w:rFonts w:ascii="Times New Roman;serif" w:hAnsi="Times New Roman;serif"/>
          <w:b/>
          <w:color w:val="000000"/>
          <w:sz w:val="24"/>
        </w:rPr>
      </w:pPr>
      <w:r>
        <w:rPr>
          <w:rFonts w:ascii="Times New Roman;serif" w:hAnsi="Times New Roman;serif"/>
          <w:b/>
          <w:color w:val="000000"/>
          <w:sz w:val="24"/>
        </w:rPr>
        <w:t>Pattern Group Inc.</w:t>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480"/>
        <w:jc w:val="both"/>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pPr>
      <w:r>
        <w:rPr>
          <w:rFonts w:ascii="Times New Roman;serif" w:hAnsi="Times New Roman;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805180"/>
                <wp:effectExtent l="0" t="0" r="0" b="0"/>
                <wp:wrapNone/>
                <wp:docPr id="260" name="Frame2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PATTERN GROUP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EMPLOYEE STOCK PURCHASE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purpose of the Pattern Group Inc. 2025 Employee Stock Purchase Plan (as amended from time to time, and including any subplans, supplements, appendices and/or addendums which shall be incorporated thereto, the “Plan”) is to provide eligible employees of Pattern Group Inc., a Delaware corporation (the “Company”), and each Designated Company (as defined in Section 11) with opportunities to purchase shares of the Company’s Series A common stock, par value $0.001 per share (the “Common Stock”) at a discount. 3,086,351 shares of Common Stock in the aggregate have been approved and reserved for this purpose, plus on January 1, 2026 and each January 1 thereafter until the Plan terminates pursuant to Section 20, the number of shares of Common Stock reserved and available for issuance under the Plan shall automatically be cumulatively increased by the least of (i) 3,086,351 shares of Common Stock, (ii) 1% of the number of shares of Common Stock and Series B Common Stock of the Company issued and outstanding on the immediately preceding December 31 </w:t>
      </w:r>
      <w:r>
        <w:rPr>
          <w:rFonts w:ascii="Times New Roman;serif" w:hAnsi="Times New Roman;serif"/>
          <w:b w:val="false"/>
          <w:color w:val="000000"/>
          <w:sz w:val="24"/>
          <w:shd w:fill="FFFFFF" w:val="clear"/>
        </w:rPr>
        <w:t>(on an as converted to Series A Common Stock basis)</w:t>
      </w:r>
      <w:r>
        <w:rPr>
          <w:rFonts w:ascii="Times New Roman;serif" w:hAnsi="Times New Roman;serif"/>
          <w:b w:val="false"/>
          <w:color w:val="000000"/>
          <w:sz w:val="24"/>
        </w:rPr>
        <w:t>, and (iii) such number of shares of Common Stock as determined by the Administrator (as defined in Section 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shall not be required to, provide for simultaneous Offerings under the Section 423 Component and the Non-423 Component of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capitalized terms in this Plan shall have the meaning ascribed to them in Section 11.</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Administration</w:t>
      </w:r>
      <w:r>
        <w:rPr>
          <w:rFonts w:ascii="Times New Roman;serif" w:hAnsi="Times New Roman;serif"/>
          <w:b w:val="false"/>
          <w:color w:val="000000"/>
          <w:sz w:val="24"/>
        </w:rPr>
        <w:t xml:space="preserve">. The Plan will be administered by the person or persons (the “Administrator”) appointed by the Company’s Board of Directors (the “Board”) for such purpose.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has authority at any time to: (i) adopt, alter and repeal such rules, guidelines and practices for the administration of the Plan and for its own acts and proceedings as it deem advisable; (ii) interpret the terms and provisions of the Plan; (iii) determine when and how Options shall be granted and the provisions and terms of each Offering (which need not be identical); (iv) select Designated Companies; (v) make all determinations it deems advisable for the administration of the Plan; (vi) decide all disputes arising in connection with the Plan; and (vii)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Offerings</w:t>
      </w:r>
      <w:r>
        <w:rPr>
          <w:rFonts w:ascii="Times New Roman;serif" w:hAnsi="Times New Roman;serif"/>
          <w:b w:val="false"/>
          <w:color w:val="000000"/>
          <w:sz w:val="24"/>
        </w:rPr>
        <w:t xml:space="preserve">. The Company will make one or more offerings to eligible employees to purchase Common Stock under the Plan (“Offerings”) consisting of one or more Purchase Periods. The Administrator may, in its discretion, determine when each Offering shall occur, including the duration of any Offering, provided that no Offering shall exceed 27 months in duration. If determined by the Administrator, the initial Offering may begin on the date of the Company’s Initial Public Offering. Unless the Administrator determines otherwise, each Purchase Period will be the same as each Offering. Furthermore, unless as otherwise determined by the Administrator, Participants will only be permitted to participate in one Offering at a time. </w:t>
      </w:r>
      <w:r>
        <w:rPr>
          <w:rFonts w:ascii="Times New Roman;serif" w:hAnsi="Times New Roman;serif"/>
          <w:b w:val="false"/>
          <w:color w:val="000000"/>
          <w:sz w:val="24"/>
          <w:shd w:fill="FFFFFF" w:val="clear"/>
        </w:rPr>
        <w:t>Unless the Administrator, in its sole discretion, chooses otherwise prior to an Offering Date, and to the extent an Offering has more than one Purchase Period and to the extent permitted by applicable law, if the Fair Market Value of the Common Stock on any Exercise Date in an Offering is lower than the Fair Market Value of the Common Stock on the Offering Date,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Eligibility</w:t>
      </w:r>
      <w:r>
        <w:rPr>
          <w:rFonts w:ascii="Times New Roman;serif" w:hAnsi="Times New Roman;serif"/>
          <w:b w:val="false"/>
          <w:color w:val="000000"/>
          <w:sz w:val="24"/>
        </w:rPr>
        <w:t xml:space="preserve">. All individuals classified as employees on the payroll records of the Company and each Designated Company are eligible to participate in any one or more of the Offerings under the Plan, unless otherwise determined by the Administrator, as of the first day of the applicable Offering (the “Offering Date”) they are customarily employed by the Company or a Designated Company for more than 20 hours a week.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which specifically renders such individuals eligible to participate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Participation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Participants on Effective Date</w:t>
      </w:r>
      <w:r>
        <w:rPr>
          <w:rFonts w:ascii="Times New Roman;serif" w:hAnsi="Times New Roman;serif"/>
          <w:b w:val="false"/>
          <w:color w:val="000000"/>
          <w:sz w:val="24"/>
        </w:rPr>
        <w:t>. If the initial Offering begins at the time of the Initial Public Offering, then each eligible employee at the time of the Initial Public Offering shall be deemed to be a Participant at such time and if an eligible employee is deemed to be a Participant pursuant to this Section 4(a), then such individual shall be deemed not to have authorized payroll deductions and shall not purchase any Common Stock hereunder unless he or she thereafter authorizes payroll deductions by submitting an enrollment form (in the manner described in Section 4(c)) within 15 days of the commencement of the initial Offering. If such a Participant does not authorize payroll deductions by submitting an enrollment form by the end of such period, that Participant will be deemed to have withdrawn from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Participants in Subsequent Offerings</w:t>
      </w:r>
      <w:r>
        <w:rPr>
          <w:rFonts w:ascii="Times New Roman;serif" w:hAnsi="Times New Roman;serif"/>
          <w:b w:val="false"/>
          <w:color w:val="000000"/>
          <w:sz w:val="24"/>
        </w:rPr>
        <w:t>. An eligible employee who is not a Participant in any prior Offering may participate in a subsequent Offering by submitting an enrollment form to the Company or an agent designated by the Company (in the manner described in Section 4(c)) at least 15 business days before the Offering Date (or by such other deadline as shall be established by the Administrator for the Offering).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Enrollment</w:t>
      </w:r>
      <w:r>
        <w:rPr>
          <w:rFonts w:ascii="Times New Roman;serif" w:hAnsi="Times New Roman;serif"/>
          <w:b w:val="false"/>
          <w:color w:val="000000"/>
          <w:sz w:val="24"/>
        </w:rPr>
        <w:t>. The enrollment form (which may be in an electronic format or such other method as determined by the Company in accordance with the Company’s practices) will (i) state a whole percentage to be deducted from an eligible employee’s Compensation (as defined in Section 11) per pay period, (ii) authorize the purchase of Common Stock in each Offering in accordance with the terms of the Plan and (iii)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or otherwise becomes ineligible to participate in the Plan, such Participant’s deductions or contributions and purchases will continue at the same percentage of Compensation for future Offerings, provided he or she remains eligible.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Notwithstanding the foregoing, participation in the Plan will neither be permitted nor be denied contrary to the requirements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Employee Contributions</w:t>
      </w:r>
      <w:r>
        <w:rPr>
          <w:rFonts w:ascii="Times New Roman;serif" w:hAnsi="Times New Roman;serif"/>
          <w:b w:val="false"/>
          <w:color w:val="000000"/>
          <w:sz w:val="24"/>
        </w:rPr>
        <w:t xml:space="preserve">. Each eligible employee may authorize payroll deductions or contributions at a minimum of one percent (1%) up to a maximum of fifteen percent (15%) of such employee’s Compensation for each pay period or such other maximum as may be specified by the Administrator in advance of an Offering. The Company will maintain book accounts showing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 of payroll deductions or contributions made by each Participant for each Purchase Period. No interest will accrue or be paid on payroll deductions or contributions, except as may be required by applicable law. If payroll deductions or contributions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or contributions” in this Section 5 (or in any other section of the Plan ) will similarly cover contributions by other means made pursuant to this Section 5.</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Deduction Changes</w:t>
      </w:r>
      <w:r>
        <w:rPr>
          <w:rFonts w:ascii="Times New Roman;serif" w:hAnsi="Times New Roman;serif"/>
          <w:b w:val="false"/>
          <w:color w:val="000000"/>
          <w:sz w:val="24"/>
        </w:rPr>
        <w:t>. Except in the event of a Participant increasing his or her payroll deduction from 0 percent (0%) during an initial Offering that begins at the time of the Initial Public Offering as specified in Section 4(a) or as may be determined by the Administrator in advance of an Offering (except in the case of withdrawal as outlined in Section 7), a Participant may not increase or decrease his or her payroll deduction or contributions during any Offering, but may increase or decrease his or her payroll deduction or contributions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or contributions during an Offering.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Withdrawal</w:t>
      </w:r>
      <w:r>
        <w:rPr>
          <w:rFonts w:ascii="Times New Roman;serif" w:hAnsi="Times New Roman;serif"/>
          <w:b w:val="false"/>
          <w:color w:val="000000"/>
          <w:sz w:val="24"/>
        </w:rPr>
        <w:t>. A Participant may withdraw from participation in the Plan in accordance with such procedures as may be established by the Administrator.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Grant of Options</w:t>
      </w:r>
      <w:r>
        <w:rPr>
          <w:rFonts w:ascii="Times New Roman;serif" w:hAnsi="Times New Roman;serif"/>
          <w:b w:val="false"/>
          <w:color w:val="000000"/>
          <w:sz w:val="24"/>
        </w:rPr>
        <w:t xml:space="preserve">. On each Offering Date, the Company will grant to each eligible employee who is then a Participant in the Plan an option (“Option”) to purchase on the last day of a Purchase Period (the “Exercise Date”) and at the Option Price hereinafter provided for, the lowest of (a) a number of shares of Common Stock determined by dividing such Participant’s accumulated payroll deductions or contributions on such Exercise Date by the Option Price (as defined herein), </w:t>
      </w:r>
      <w:r>
        <w:rPr>
          <w:rFonts w:ascii="Times New Roman;serif" w:hAnsi="Times New Roman;serif"/>
          <w:b w:val="false"/>
          <w:color w:val="000000"/>
          <w:sz w:val="24"/>
          <w:shd w:fill="FFFFFF" w:val="clear"/>
        </w:rPr>
        <w:t>(b) the number of shares of Common Stock determined by dividing $25,000 by the Fair Market Value (as defined in Section 11) of the Common Stock on the Offering Date for such Offering; or (c) such other maximum number of shares as shall have been established by the Administrator in</w:t>
      </w:r>
      <w:r>
        <w:rPr>
          <w:color w:val="000000"/>
        </w:rPr>
        <w:t xml:space="preserve"> </w:t>
      </w:r>
      <w:r>
        <w:rPr>
          <w:rFonts w:ascii="Times New Roman;serif" w:hAnsi="Times New Roman;serif"/>
          <w:b w:val="false"/>
          <w:color w:val="000000"/>
          <w:sz w:val="24"/>
          <w:shd w:fill="FFFFFF" w:val="clear"/>
        </w:rPr>
        <w:t>advance of the Offering; provided, however, that such Option shall be subject to the limitations set forth below.</w:t>
      </w:r>
      <w:r>
        <w:rPr>
          <w:color w:val="000000"/>
        </w:rPr>
        <w:t xml:space="preserve"> </w:t>
      </w:r>
      <w:r>
        <w:rPr>
          <w:rFonts w:ascii="Times New Roman;serif" w:hAnsi="Times New Roman;serif"/>
          <w:b w:val="false"/>
          <w:color w:val="000000"/>
          <w:sz w:val="24"/>
        </w:rPr>
        <w:t>Each Participant’s Option shall be exercisable only to the extent of such Participant’s accumulated payroll deductions or contributions on the Exercise Date. The purchase price for each share purchased under each Option (the “Option Price”) will be eighty-five percent (85%) of the Fair Market Value of the Common Stock on the Offering Date or the Exercise Date, whichever is less.</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 Participant may be granted an Option hereunder if such Participant, immediately after the Option was granted, would be treated as owning stock possessing 5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the Common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Exercise of Option and Purchase of Shares</w:t>
      </w:r>
      <w:r>
        <w:rPr>
          <w:rFonts w:ascii="Times New Roman;serif" w:hAnsi="Times New Roman;serif"/>
          <w:b w:val="false"/>
          <w:color w:val="000000"/>
          <w:sz w:val="24"/>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or contributions on such date will purchase at the Option Price, subject to any other limitations contained in the Plan; provided that, with respect to the initial Offering that begins at the time of the Initial Public Offering, the exercise of each Option shall be conditioned on the closing of the Company’s Initial Public Offering on or before the Exercise Date. Unless otherwise determined by the Administrator in advance of an Offering, any amount remaining in a Participant’s account after the purchase of shares on an Exercise Date of an Offering solely by reason of the inability to purchase a fractional share will be carried forward to the next Purchase Period, and if such Exercise Date is the final Exercise Date of an Offering, will be carried forward to the next Offering; any other balance remaining in a Participant’s account at the end of an Offering will be refunded to the Participant promptly.</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Issuance of Certificates</w:t>
      </w:r>
      <w:r>
        <w:rPr>
          <w:rFonts w:ascii="Times New Roman;serif" w:hAnsi="Times New Roman;serif"/>
          <w:b w:val="false"/>
          <w:color w:val="000000"/>
          <w:sz w:val="24"/>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“Affiliate” means any entity that, directly or indirectly through one or more intermediaries, controls, is controlled by or is under the common control with,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related to options or other share-based awards, and similar items. The Administrator shall have the discretion to determine the application of this definition to Participants outside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“Designated Company” means any present or future Subsidiary or Affiliate that has been designated by the Administrator to participate in the Plan. The Administrator may so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 The current list of Designated Companies is attached hereto as Appendix 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Select Market or another national securities exchange, the determination shall be made by reference to the closing price. If there is no closing price for such date, the determination shall be made by reference to the last date preceding such date for which there is a closing price. Notwithstanding the foregoing, if the date for which Fair Market Value of the Common Stock is determined is the first day when trading prices for the Common Stock are reported on Nasdaq or another national securities exchange, the Fair Market Value of the Common Stock shall be the “Price to the Public” (or equivalent) set forth on the cover page for the final prospectus relating to the Company’s Initial Public Offering.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“Initial Public Offering” means the first underwritten, firm commitment public offering pursuant to an effective registration statement under the U.S. Securities Act of 1933, as amended, covering the offer and sale by the Company of its Common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“New Exercise Date” means a new Exercise Date if the Administrator shortens any Offering then in progress.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“Parent” means a “parent corporation” with respect to the Company, as defined in Section 424(e) of the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“Participant” means an individual who is eligible as determined in Section 3 and who has complied with the provisions of Section 4.</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“Purchase Period” means a period of time specified within an Offering beginning on the Offering Date or on the</w:t>
      </w:r>
      <w:r>
        <w:rPr>
          <w:color w:val="000000"/>
          <w:shd w:fill="FFFFFF" w:val="clear"/>
        </w:rPr>
        <w:t xml:space="preserve"> </w:t>
      </w:r>
      <w:r>
        <w:rPr>
          <w:rFonts w:ascii="Times New Roman;serif" w:hAnsi="Times New Roman;serif"/>
          <w:b w:val="false"/>
          <w:color w:val="000000"/>
          <w:sz w:val="24"/>
          <w:shd w:fill="FFFFFF" w:val="clear"/>
        </w:rPr>
        <w:t>next day following an Exercise Date within an Offering and ending on an Exercise Date. An Offering may consist of one or more Purchase Periods.</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“Registration Date” means the date on which the registration statement on Form S-1 that is filed by the Company with respect to its Initial Public Offering is declared effective by the U.S. Securities and Exchange Commission (the “SEC”).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“Sale Event” means the occurrence of any one of the following events: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(for the avoidance of doubt, any change in majority voting power resulting from the conversion of Series B Common Stock of the Company to Common Stock of the Company by an individual stockholder shall not, on its own, constitute a Sale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 “Subsidiary” means a “subsidiary corporation” with respect to the Company, as defined in Section 424(f)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Rights on Termination or Transfer of Employment</w:t>
      </w:r>
      <w:r>
        <w:rPr>
          <w:rFonts w:ascii="Times New Roman;serif" w:hAnsi="Times New Roman;serif"/>
          <w:b w:val="false"/>
          <w:color w:val="000000"/>
          <w:sz w:val="24"/>
        </w:rPr>
        <w:t>. 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Special Rules and Sub-Plans</w:t>
      </w:r>
      <w:r>
        <w:rPr>
          <w:rFonts w:ascii="Times New Roman;serif" w:hAnsi="Times New Roman;serif"/>
          <w:b w:val="false"/>
          <w:color w:val="000000"/>
          <w:sz w:val="24"/>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or contributions,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Optionees Not Stockholders</w:t>
      </w:r>
      <w:r>
        <w:rPr>
          <w:rFonts w:ascii="Times New Roman;serif" w:hAnsi="Times New Roman;serif"/>
          <w:b w:val="false"/>
          <w:color w:val="000000"/>
          <w:sz w:val="24"/>
        </w:rPr>
        <w:t>. Neither the granting of an Option to a Participant nor the deductions or contributions from his or her pay shall result in such Participant becoming a holder of the shares of Common Stock covered by an Option under the Plan until such shares have been purchased by and issued to him or her.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Rights Not Transferable</w:t>
      </w:r>
      <w:r>
        <w:rPr>
          <w:rFonts w:ascii="Times New Roman;serif" w:hAnsi="Times New Roman;serif"/>
          <w:b w:val="false"/>
          <w:color w:val="000000"/>
          <w:sz w:val="24"/>
        </w:rPr>
        <w:t>. Rights under the Plan are not transferable by a Participant other than by will or the laws of descent and distribution, and are exercisable during the Participant’s lifetime only by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Application of Funds</w:t>
      </w:r>
      <w:r>
        <w:rPr>
          <w:rFonts w:ascii="Times New Roman;serif" w:hAnsi="Times New Roman;serif"/>
          <w:b w:val="false"/>
          <w:color w:val="000000"/>
          <w:sz w:val="24"/>
        </w:rPr>
        <w:t>. All funds received or held by the Company under the Plan may be combined with other corporate funds and may be used for any corporate purpose, unless otherwise required under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Adjustment in Case of Changes Affecting Common Stock</w:t>
      </w:r>
      <w:r>
        <w:rPr>
          <w:rFonts w:ascii="Times New Roman;serif" w:hAnsi="Times New Roman;serif"/>
          <w:b w:val="false"/>
          <w:color w:val="000000"/>
          <w:sz w:val="24"/>
        </w:rPr>
        <w:t xml:space="preserve">.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w:t>
      </w:r>
      <w:r>
        <w:rPr>
          <w:rFonts w:ascii="Times New Roman;serif" w:hAnsi="Times New Roman;serif"/>
          <w:b w:val="false"/>
          <w:color w:val="000000"/>
          <w:sz w:val="24"/>
          <w:shd w:fill="FFFFFF" w:val="clear"/>
        </w:rPr>
        <w:t>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make adjustments in the number and type of shares of Common Stock (or other securities or property) subject to outstanding Options under the Plan and/or in the terms and conditions of outstanding Options and Options that may be granted in the future.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as provided in Section 7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To provide that all outstanding Options shall terminate without being exercised and all amounts in the accounts of Participants shall be promptly refunded.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Amendment of the Plan</w:t>
      </w:r>
      <w:r>
        <w:rPr>
          <w:rFonts w:ascii="Times New Roman;serif" w:hAnsi="Times New Roman;serif"/>
          <w:b w:val="false"/>
          <w:color w:val="000000"/>
          <w:sz w:val="24"/>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423 Component of the Plan, as amended, to qualify as an “employee stock purchase plan” under Section 423(b)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Insufficient Shares</w:t>
      </w:r>
      <w:r>
        <w:rPr>
          <w:rFonts w:ascii="Times New Roman;serif" w:hAnsi="Times New Roman;serif"/>
          <w:b w:val="false"/>
          <w:color w:val="000000"/>
          <w:sz w:val="24"/>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or contributions accumulated on behalf of each Participant that would otherwise be used to purchase Common Stock on such Exercise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Termination of the Plan</w:t>
      </w:r>
      <w:r>
        <w:rPr>
          <w:rFonts w:ascii="Times New Roman;serif" w:hAnsi="Times New Roman;serif"/>
          <w:b w:val="false"/>
          <w:color w:val="000000"/>
          <w:sz w:val="24"/>
        </w:rPr>
        <w:t>. The Plan may be terminated at any time by the Board. Upon termination of the Plan, all amounts in the accounts of Participants shall be promptly refunded. Unless terminated earlier, the Plan shall expire on the ten-year anniversary of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Governmental Regulations</w:t>
      </w:r>
      <w:r>
        <w:rPr>
          <w:rFonts w:ascii="Times New Roman;serif" w:hAnsi="Times New Roman;serif"/>
          <w:b w:val="false"/>
          <w:color w:val="000000"/>
          <w:sz w:val="24"/>
        </w:rPr>
        <w:t>.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Plan and all Options and actions taken thereunder shall be governed by, and construed in accordance with, the laws of the General Corporation Law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Issuance of Shares</w:t>
      </w:r>
      <w:r>
        <w:rPr>
          <w:rFonts w:ascii="Times New Roman;serif" w:hAnsi="Times New Roman;serif"/>
          <w:b w:val="false"/>
          <w:color w:val="000000"/>
          <w:sz w:val="24"/>
        </w:rPr>
        <w:t>. Shares may be issued upon exercise of an Option from authorized but unissued Common Stock, from shares held in the treasury of the Company or from any other proper source.</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Notification Upon Sale of Shares Under the 423 Component</w:t>
      </w:r>
      <w:r>
        <w:rPr>
          <w:rFonts w:ascii="Times New Roman;serif" w:hAnsi="Times New Roman;serif"/>
          <w:b w:val="false"/>
          <w:color w:val="000000"/>
          <w:sz w:val="24"/>
        </w:rPr>
        <w:t>.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 In furtherance of the foregoing, the Company may require Participants to retain any shares of Common Stock purchased under the Plan during such period in a captive brokerage account determined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Effective Date and Approval of Stockholders</w:t>
      </w:r>
      <w:r>
        <w:rPr>
          <w:rFonts w:ascii="Times New Roman;serif" w:hAnsi="Times New Roman;serif"/>
          <w:b w:val="false"/>
          <w:color w:val="000000"/>
          <w:sz w:val="24"/>
        </w:rPr>
        <w:t>. The Plan shall take effect on the date immediately preceding the Registration Date, subject to approval by the holders of a majority of the votes cast at a meeting of stockholders at which a quorum is present or by written consent of the stockholders.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APPROVED BY BOARD OF DIRECTORS: September 9,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APPROVED BY STOCKHOLDERS: September 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Designated Companies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423 Component Designated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Pattern Inc.</w:t>
      </w:r>
    </w:p>
    <w:p>
      <w:pPr>
        <w:pStyle w:val="TextBody"/>
        <w:bidi w:val="0"/>
        <w:spacing w:lineRule="auto" w:line="288" w:before="0" w:after="480"/>
        <w:ind w:left="0" w:right="0" w:hanging="360"/>
        <w:jc w:val="left"/>
        <w:rPr/>
      </w:pPr>
      <w:r>
        <w:rPr>
          <w:color w:val="000000"/>
        </w:rPr>
        <w:t>•</w:t>
      </w:r>
      <w:r>
        <w:rPr>
          <w:rFonts w:ascii="Times New Roman;serif" w:hAnsi="Times New Roman;serif"/>
          <w:b w:val="false"/>
          <w:color w:val="000000"/>
          <w:sz w:val="24"/>
        </w:rPr>
        <w:t xml:space="preserve">Borderless Distribution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Non-423 Component Designated Companies: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Trading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General Trading LLC</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Japan GK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Trading Singapore Pte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Technologies India Private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Reach Logistics Canada, Inc.</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Australia Pty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Europe GmbH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Poland Sp. Z.o.o.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Holdings Company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Practicology Pty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Pattern Trading South Korea Ltd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ROI Hunter a.s.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ROI Hunter Platforma De Marketing Digital LTDA</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ROI Hunter FZE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ROI Hunter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PATTERN GROUP INC.</w:t>
        <w:br/>
        <w:t>2025 EMPLOYEE STOCK PURCHASE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SPECIAL TERMS AND CONDITIONS FOR PARTICIPANTS OUTSIDE THE UNITED STATES OF AMERICA</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appendix (the “Appendix”) is adopted by the Administrator pursuant to Section 1 of the Plan.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Appendix includes additional governing terms and conditions if the Participant resides and/or works in one of the countries listed below. The Appendix shall only apply to the Participants in the Plan who reside and/or work in one of the countries listed below; and, in each case, the country-specific terms and conditions set out in the Appendix shall only apply to a Participant who resides and/or works in the corresponding country. If the Participant is a citizen or resident (or is considered as such for local law purposes) of a country other than the country in which the Participant is currently residing and/or working, or if the Participant transfers to another country after the date of grant of an Option, the Administrator shall, in its discretion, determine to what extent the terms and conditions contained herein shall apply to the Participant.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by the Appendix, all the terms of the Plan control.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Plan and the Appendix shall be read together. The Appendix may be amended or rescinded from time to time by the Administrator.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to whom this Appendix has been delivered hereby accepts and consents to the terms of the Appendix.</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in this Appendix shall have the meanings set forth in the Plan.</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Australia with and subject to the following amendments and provisions for Participants in Australia. </w:t>
      </w:r>
    </w:p>
    <w:p>
      <w:pPr>
        <w:pStyle w:val="TextBody"/>
        <w:bidi w:val="0"/>
        <w:spacing w:lineRule="auto" w:line="556" w:before="0" w:after="0"/>
        <w:jc w:val="left"/>
        <w:rPr/>
      </w:pPr>
      <w:r>
        <w:rPr>
          <w:rFonts w:ascii="Times New Roman;serif" w:hAnsi="Times New Roman;serif"/>
          <w:b w:val="false"/>
          <w:color w:val="000000"/>
          <w:sz w:val="24"/>
        </w:rPr>
        <w:t>1.</w:t>
      </w:r>
      <w:r>
        <w:rPr>
          <w:rFonts w:ascii="Times New Roman;serif" w:hAnsi="Times New Roman;serif"/>
          <w:b w:val="false"/>
          <w:color w:val="000000"/>
          <w:sz w:val="24"/>
        </w:rPr>
        <w:t>SECTION 27: SECURITIES LAW</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The following shall be added as a new Section 27:</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Securities law</w:t>
      </w:r>
      <w:r>
        <w:rPr>
          <w:rFonts w:ascii="Times New Roman;serif" w:hAnsi="Times New Roman;serif"/>
          <w:b w:val="false"/>
          <w:color w:val="000000"/>
          <w:sz w:val="24"/>
        </w:rPr>
        <w:t xml:space="preserve">. The purchase of Common Stock under this Plan is made pursuant to applicable relief under Part 7.12, Division 1A of the Corporations Act 2001 (Cth) (“Corporations Act”). The documentation provided to the Participant in connection with the purchase by the Participant is provided on the basis that the Participant is a person to whom an offer of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94995"/>
                <wp:effectExtent l="0" t="0" r="0" b="0"/>
                <wp:wrapNone/>
                <wp:docPr id="272" name="Frame26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'derivatives' may be made without a disclosure document (as those terms are defined in the Corporations Act).</w:t>
      </w:r>
    </w:p>
    <w:p>
      <w:pPr>
        <w:pStyle w:val="TextBody"/>
        <w:bidi w:val="0"/>
        <w:spacing w:lineRule="auto" w:line="288" w:before="0" w:after="24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Participant reads all the documents given to the Participant in relation to the Plan before deciding whether to participate in the Plan. In particular, the Participant should satisfy themselves that they have a sufficient understanding of the risks involved in acquiring the Common Stock under the Plan and consider if participation in the Plan is suitable for the Participant, having regard to the Participant’s investment objectives, financial circumstances and taxation position.</w:t>
      </w:r>
    </w:p>
    <w:p>
      <w:pPr>
        <w:pStyle w:val="TextBody"/>
        <w:bidi w:val="0"/>
        <w:spacing w:lineRule="auto" w:line="288" w:before="0" w:after="240"/>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Plan: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purchase of Common Stock under the Plan and does not     take into account the Participant’s objectives, financial situation or needs;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Participant in making a decision to acquire Common Stock under the Plan.</w:t>
      </w:r>
    </w:p>
    <w:p>
      <w:pPr>
        <w:pStyle w:val="TextBody"/>
        <w:bidi w:val="0"/>
        <w:spacing w:lineRule="auto" w:line="288" w:before="0" w:after="240"/>
        <w:jc w:val="both"/>
        <w:rPr/>
      </w:pPr>
      <w:r>
        <w:rPr>
          <w:rFonts w:ascii="Times New Roman;serif" w:hAnsi="Times New Roman;serif"/>
          <w:b w:val="false"/>
          <w:color w:val="000000"/>
          <w:sz w:val="24"/>
          <w:u w:val="single"/>
        </w:rPr>
        <w:t>Plan</w:t>
      </w:r>
      <w:r>
        <w:rPr>
          <w:rFonts w:ascii="Times New Roman;serif" w:hAnsi="Times New Roman;serif"/>
          <w:b w:val="false"/>
          <w:i/>
          <w:color w:val="000000"/>
          <w:sz w:val="24"/>
        </w:rPr>
        <w:t>.    </w:t>
      </w:r>
      <w:r>
        <w:rPr>
          <w:rFonts w:ascii="Times New Roman;serif" w:hAnsi="Times New Roman;serif"/>
          <w:b w:val="false"/>
          <w:color w:val="000000"/>
          <w:sz w:val="24"/>
        </w:rPr>
        <w:t>The Participant acknowledges and agrees that a copy of the Plan has been provided to the Participant.”</w:t>
      </w:r>
    </w:p>
    <w:p>
      <w:pPr>
        <w:pStyle w:val="TextBody"/>
        <w:bidi w:val="0"/>
        <w:spacing w:lineRule="auto" w:line="288" w:before="0" w:after="240"/>
        <w:jc w:val="left"/>
        <w:rPr/>
      </w:pPr>
      <w:r>
        <w:rPr>
          <w:rFonts w:ascii="Times New Roman;serif" w:hAnsi="Times New Roman;serif"/>
          <w:b w:val="false"/>
          <w:color w:val="000000"/>
          <w:sz w:val="24"/>
        </w:rPr>
        <w:t>2.</w:t>
      </w:r>
      <w:r>
        <w:rPr>
          <w:rFonts w:ascii="Times New Roman;serif" w:hAnsi="Times New Roman;serif"/>
          <w:b w:val="false"/>
          <w:color w:val="000000"/>
          <w:sz w:val="24"/>
        </w:rPr>
        <w:t>SECTION 28: TAXES</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The following shall be added as a new Section 28:</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Taxes</w:t>
      </w:r>
      <w:r>
        <w:rPr>
          <w:rFonts w:ascii="Times New Roman;serif" w:hAnsi="Times New Roman;serif"/>
          <w:b w:val="false"/>
          <w:color w:val="000000"/>
          <w:sz w:val="24"/>
        </w:rPr>
        <w:t>.    Participants are strongly advised to consult with their personal tax advisor regarding the tax treatment of their purchase of Common Stock under the Plan and of any subsequent sale of Common Stock. The Company has reporting obligations to the Australian Taxation Office, and the Participant is responsible for disclosing any taxable discount, in respect of any purchase of Common Stock acquired under the Plan.”</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Canada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Canada with and subject to the following amendments and provisions for Participants in Canada, which for greater certainty shall include those Participants that are residents of Canada for purposes of the Income Tax Act (Canada) (the “Tax Act”) or are otherwise subject to tax in Canada by virtue of their employment (“Canadian Employees”). </w:t>
      </w:r>
    </w:p>
    <w:p>
      <w:pPr>
        <w:pStyle w:val="TextBody"/>
        <w:bidi w:val="0"/>
        <w:spacing w:lineRule="auto" w:line="556" w:before="0" w:after="0"/>
        <w:jc w:val="left"/>
        <w:rPr/>
      </w:pPr>
      <w:r>
        <w:rPr>
          <w:rFonts w:ascii="Times New Roman;serif" w:hAnsi="Times New Roman;serif"/>
          <w:b w:val="false"/>
          <w:color w:val="000000"/>
          <w:sz w:val="24"/>
        </w:rPr>
        <w:t>3.</w:t>
      </w:r>
      <w:r>
        <w:rPr>
          <w:rFonts w:ascii="Times New Roman;serif" w:hAnsi="Times New Roman;serif"/>
          <w:b w:val="false"/>
          <w:color w:val="000000"/>
          <w:sz w:val="24"/>
        </w:rPr>
        <w:t>SECTION 4: PARTICIPATION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4(c) will be deleted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Enrollment</w:t>
      </w:r>
      <w:r>
        <w:rPr>
          <w:rFonts w:ascii="Times New Roman;serif" w:hAnsi="Times New Roman;serif"/>
          <w:b w:val="false"/>
          <w:color w:val="000000"/>
          <w:sz w:val="24"/>
        </w:rPr>
        <w:t xml:space="preserve">. The enrollment form (which may be in an electronic format or such other method as determined by the Company in accordance with the Company’s practices) will (i) state a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85445"/>
                <wp:effectExtent l="0" t="0" r="0" b="0"/>
                <wp:wrapNone/>
                <wp:docPr id="273"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whole percentage to be deducted from an eligible employee’s Compensation (as defined in Section 11) per pay period, (ii) authorize the purchase of Common Stock in each Offering in accordance with the terms of the Plan, provided that no purchases of Common Stock will be made for a Participant in an Offering unless, in the view of legal counsel to the Company, such Common Stock to be issued may be issued to the Participant pursuant to an exemption from the prospectus requirement of applicable Canadian securities laws, and (iii)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or otherwise becomes ineligible to participate in the Plan, such Participant’s deductions or contributions and purchases will continue at the same percentage of Compensation for future Offerings, provided he or she remains eligible. By completing and submitting the enrollment form, a Participant represents and warrants to the Company that their participation in the Plan and acceptance of any such Common Stock purchased pursuant to the Plan is voluntary and that such Participant has not been induced to participate in the Plan by expectation of engagement, appointment, employment or continued engagement, appointment, or employment, as applicable.”</w:t>
      </w:r>
    </w:p>
    <w:p>
      <w:pPr>
        <w:pStyle w:val="TextBody"/>
        <w:bidi w:val="0"/>
        <w:spacing w:lineRule="auto" w:line="288" w:before="0" w:after="240"/>
        <w:jc w:val="left"/>
        <w:rPr/>
      </w:pPr>
      <w:r>
        <w:rPr>
          <w:rFonts w:ascii="Times New Roman;serif" w:hAnsi="Times New Roman;serif"/>
          <w:b w:val="false"/>
          <w:color w:val="000000"/>
          <w:sz w:val="24"/>
        </w:rPr>
        <w:t>4.</w:t>
      </w:r>
      <w:r>
        <w:rPr>
          <w:rFonts w:ascii="Times New Roman;serif" w:hAnsi="Times New Roman;serif"/>
          <w:b w:val="false"/>
          <w:color w:val="000000"/>
          <w:sz w:val="24"/>
        </w:rPr>
        <w:t>SECTION 8: GRANT OF OPTIONS</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Section 8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On each Offering Date, the Company will grant to each eligible employee who is then a Participant in the Plan an option (“Option”) to purchase on the last day of a Purchase Period (the “Exercise Date”) and at the Option Price hereinafter provided for, the lowest of (a) a number of shares of Common Stock determined by dividing such Participant’s accumulated payroll deductions or contributions on such Exercise Date by the Option Price (as defined herein), (b) the number of shares of Common Stock determined by dividing $25,000 by the Fair Market Value (as defined in Section 11) of the Common Stock on the Offering Date for such Offering; or (c) such other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or contributions on the Exercise Date. The purchase price for each share purchased under each Option (the “Option Price”) will be eighty-five percent (85%) of the Fair Market Value of the Common Stock on the Offering Date or the Exercise Date, whichever is less.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no Participant may be granted an Option hereunder if such Participant, immediately after the Option was granted, would be treated as owning stock possessing 5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85445"/>
                <wp:effectExtent l="0" t="0" r="0" b="0"/>
                <wp:wrapNone/>
                <wp:docPr id="274" name="Frame2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stock purchase plan of the Company and its Parents and Subsidiaries, to accrue at a rate which exceeds $25,000 of the Fair Market Value of the Common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Furthermore, no Participant may be granted an Option hereunder unless, in the view of legal counsel to the Company, the Option may be granted to such Participant pursuant to an exemption from the prospectus requirement of applicable Canadian securities laws.”</w:t>
      </w:r>
    </w:p>
    <w:p>
      <w:pPr>
        <w:pStyle w:val="TextBody"/>
        <w:bidi w:val="0"/>
        <w:spacing w:lineRule="auto" w:line="288" w:before="0" w:after="240"/>
        <w:jc w:val="left"/>
        <w:rPr/>
      </w:pPr>
      <w:r>
        <w:rPr>
          <w:rFonts w:ascii="Times New Roman;serif" w:hAnsi="Times New Roman;serif"/>
          <w:b w:val="false"/>
          <w:color w:val="000000"/>
          <w:sz w:val="24"/>
        </w:rPr>
        <w:t>5.</w:t>
      </w:r>
      <w:r>
        <w:rPr>
          <w:rFonts w:ascii="Times New Roman;serif" w:hAnsi="Times New Roman;serif"/>
          <w:b w:val="false"/>
          <w:color w:val="000000"/>
          <w:sz w:val="24"/>
        </w:rPr>
        <w:t>SECTION 9: EXERCISE OF OPTION AND PURCHASE OF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or contributions on such date will purchase at the Option Price, subject to any other limitations contained in the Plan; provided that, with respect to the Initial Offering, the exercise of each Option shall be conditioned on the closing of the Company’s Initial Public Offering on or before the Exercise Date. No Option granted for an Offering may be exercised unless, in the view of legal counsel to the Company, the Common Stock issuable or deliverable upon exercise of such Option may be issued pursuant to an exemption from the prospectus requirement of applicable Canadian securities laws. Unless otherwise determined by the Administrator in advance of an Offering, any amount remaining in a Participant’s account after the purchase of shares on an Exercise Date of an Offering by reason of the inability to purchase a fractional share or the lack of an available exemption from the prospectus requirements of the applicable securities laws in Canada will be carried forward to the next Purchase Period, and if such Exercise Date is the final Exercise Date of an Offering, will be carried forward to the next Offering; any other balance remaining in a Participant’s account at the end of an Offering will be refunded to the Participant promptly.”</w:t>
      </w:r>
    </w:p>
    <w:p>
      <w:pPr>
        <w:pStyle w:val="TextBody"/>
        <w:bidi w:val="0"/>
        <w:spacing w:lineRule="auto" w:line="556" w:before="0" w:after="0"/>
        <w:jc w:val="left"/>
        <w:rPr/>
      </w:pPr>
      <w:r>
        <w:rPr>
          <w:rFonts w:ascii="Times New Roman;serif" w:hAnsi="Times New Roman;serif"/>
          <w:b w:val="false"/>
          <w:color w:val="000000"/>
          <w:sz w:val="24"/>
        </w:rPr>
        <w:t>6.</w:t>
      </w:r>
      <w:r>
        <w:rPr>
          <w:rFonts w:ascii="Times New Roman;serif" w:hAnsi="Times New Roman;serif"/>
          <w:b w:val="false"/>
          <w:color w:val="000000"/>
          <w:sz w:val="24"/>
        </w:rPr>
        <w:t>SECTION 11: DEFINITIONS</w:t>
      </w:r>
    </w:p>
    <w:p>
      <w:pPr>
        <w:pStyle w:val="TextBody"/>
        <w:bidi w:val="0"/>
        <w:spacing w:lineRule="auto" w:line="556"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The definition of the term “Affiliate”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term “Affiliate” means any entity that, directly or indirectly through one or more intermediaries, controls, is controlled by or is under the common control with, the Company. For the purposes of participation in the Plan in Canada, an Affiliate shall mean, in addition to the foregoing, a Related Entity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5445"/>
                <wp:effectExtent l="0" t="0" r="0" b="0"/>
                <wp:wrapNone/>
                <wp:docPr id="275" name="Frame2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following definition will be added to the Plan:</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term “Related Entity of the Company” means (i) a person that controls or is controlled by the Company; or (ii) a person that is controlled by the same person that controls the Company.”</w:t>
      </w:r>
    </w:p>
    <w:p>
      <w:pPr>
        <w:pStyle w:val="TextBody"/>
        <w:bidi w:val="0"/>
        <w:spacing w:lineRule="auto" w:line="288" w:before="0" w:after="240"/>
        <w:jc w:val="left"/>
        <w:rPr/>
      </w:pPr>
      <w:r>
        <w:rPr>
          <w:rFonts w:ascii="Times New Roman;serif" w:hAnsi="Times New Roman;serif"/>
          <w:b w:val="false"/>
          <w:color w:val="000000"/>
          <w:sz w:val="24"/>
        </w:rPr>
        <w:t>7.</w:t>
      </w:r>
      <w:r>
        <w:rPr>
          <w:rFonts w:ascii="Times New Roman;serif" w:hAnsi="Times New Roman;serif"/>
          <w:b w:val="false"/>
          <w:color w:val="000000"/>
          <w:sz w:val="24"/>
        </w:rPr>
        <w:t>SECTION 17: ADJUSTMENT IN CASE OF CHANGES AFFECTING COMMON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first paragraph of Section 17 shall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In the case of and subject to the consummation of a Sale Event, the Administrator, upon the consent of any Participants so impacted, and on such terms and conditions as the Administrator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lineRule="auto" w:line="288" w:before="0" w:after="240"/>
        <w:jc w:val="left"/>
        <w:rPr/>
      </w:pPr>
      <w:r>
        <w:rPr>
          <w:rFonts w:ascii="Times New Roman;serif" w:hAnsi="Times New Roman;serif"/>
          <w:b w:val="false"/>
          <w:color w:val="000000"/>
          <w:sz w:val="24"/>
        </w:rPr>
        <w:t>8.</w:t>
      </w:r>
      <w:r>
        <w:rPr>
          <w:rFonts w:ascii="Times New Roman;serif" w:hAnsi="Times New Roman;serif"/>
          <w:b w:val="false"/>
          <w:color w:val="000000"/>
          <w:sz w:val="24"/>
        </w:rPr>
        <w:t>SECTION 20: TERMINATION OF THE PLAN</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Section 20 shall be deleted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Termination of the Plan</w:t>
      </w:r>
      <w:r>
        <w:rPr>
          <w:rFonts w:ascii="Times New Roman;serif" w:hAnsi="Times New Roman;serif"/>
          <w:b w:val="false"/>
          <w:color w:val="000000"/>
          <w:sz w:val="24"/>
        </w:rPr>
        <w:t>. The Plan may be terminated at any time by the Board, provided such termination shall not be applicable in respect of any Options that are issued and outstanding. Upon termination of the Plan, all amounts in the accounts of Participants shall be promptly refunded, except in such circumstances as any Options remain outstanding that may be exercised on an Exercised Date. Any such Options not exercised on the relevant Exercise Date shall thereafter terminate and cease to be exercisable and any amounts in the accounts of Participants shall thereafter be refunded. Unless terminated earlier, the Plan shall expire on the ten-year anniversary of the Effective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24: TAX WITHHOLDING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24 shall be deleted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Participation in the Plan is subject to any applicable U.S. and non-U.S. federal, state or local taxes, withholding requirements, remittances, source deductions, or other amounts (“Applicable Withholding Taxes”) on any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85445"/>
                <wp:effectExtent l="0" t="0" r="0" b="0"/>
                <wp:wrapNone/>
                <wp:docPr id="276" name="Frame2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meet Applicable Withholding Tax obligations, including any withholding required to make available to the Company or any Subsidiary or Affiliate any tax deductions or benefits attributable to the, purchase,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China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the People’s Republic of China (“PRC”) with and subject to the following amendments and provisions for Participants in the PRC.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 RIGHTS ON TERMINATION OR TRANSFER OF EMPLOYMENT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In case of any court order of reinstatement of the Participant’s employment, such Participant’s rights with regard to the Common Stock/Option under this Plan forfeited or terminated due to the previous termination of the employment shall not be revived.”</w:t>
      </w:r>
    </w:p>
    <w:p>
      <w:pPr>
        <w:pStyle w:val="TextBody"/>
        <w:bidi w:val="0"/>
        <w:spacing w:lineRule="auto" w:line="288" w:before="0" w:after="240"/>
        <w:jc w:val="left"/>
        <w:rPr/>
      </w:pPr>
      <w:r>
        <w:rPr>
          <w:rFonts w:ascii="Times New Roman;serif" w:hAnsi="Times New Roman;serif"/>
          <w:b w:val="false"/>
          <w:color w:val="000000"/>
          <w:sz w:val="24"/>
        </w:rPr>
        <w:t>9.</w:t>
      </w:r>
      <w:r>
        <w:rPr>
          <w:rFonts w:ascii="Times New Roman;serif" w:hAnsi="Times New Roman;serif"/>
          <w:b w:val="false"/>
          <w:color w:val="000000"/>
          <w:sz w:val="24"/>
        </w:rPr>
        <w:t>SECTION 24: TAX WITHHOLDING</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85445"/>
                <wp:effectExtent l="0" t="0" r="0" b="0"/>
                <wp:wrapNone/>
                <wp:docPr id="277" name="Frame2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Section 24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 Each Participant agrees to provide information reasonably required to enable such tax withholding and reporting.”</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Czech Republic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rules of the Plan apply in the Czech Republic with and subject to the following amendments and provisions for Participants in the Czech Republic. All capitalized terms set out herein shall have the same meanings as set out in the Plan, unless stated otherwise.</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27: DATA PRIVACY</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27:</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Data Privacy</w:t>
      </w:r>
      <w:r>
        <w:rPr>
          <w:rFonts w:ascii="Times New Roman;serif" w:hAnsi="Times New Roman;serif"/>
          <w:b w:val="false"/>
          <w:color w:val="000000"/>
          <w:sz w:val="24"/>
        </w:rPr>
        <w:t>.    By participating in the Plan, the Participant acknowledges that the Company, its Subsidiaries and Affiliates and certain agents thereof (together, the “</w:t>
      </w:r>
      <w:r>
        <w:rPr>
          <w:rFonts w:ascii="Times New Roman;serif" w:hAnsi="Times New Roman;serif"/>
          <w:b/>
          <w:color w:val="000000"/>
          <w:sz w:val="24"/>
        </w:rPr>
        <w:t>Relevant Companies</w:t>
      </w:r>
      <w:r>
        <w:rPr>
          <w:color w:val="000000"/>
        </w:rPr>
        <w:t>”</w:t>
      </w:r>
      <w:r>
        <w:rPr>
          <w:rFonts w:ascii="Times New Roman;serif" w:hAnsi="Times New Roman;serif"/>
          <w:b w:val="false"/>
          <w:color w:val="000000"/>
          <w:sz w:val="24"/>
        </w:rPr>
        <w:t>) may process the Participant’s personal information including but not limited to name, surname, home address and telephone number, date of birth, remuneration information and other personal information that is necessary for the purposes relating to the fulfilment and the operation of the Plan (the “</w:t>
      </w:r>
      <w:r>
        <w:rPr>
          <w:rFonts w:ascii="Times New Roman;serif" w:hAnsi="Times New Roman;serif"/>
          <w:b/>
          <w:color w:val="000000"/>
          <w:sz w:val="24"/>
        </w:rPr>
        <w:t>Relevant Information</w:t>
      </w:r>
      <w:r>
        <w:rPr>
          <w:color w:val="000000"/>
        </w:rPr>
        <w:t>”</w:t>
      </w:r>
      <w:r>
        <w:rPr>
          <w:rFonts w:ascii="Times New Roman;serif" w:hAnsi="Times New Roman;serif"/>
          <w:b w:val="false"/>
          <w:color w:val="000000"/>
          <w:sz w:val="24"/>
        </w:rPr>
        <w:t>) whereas the Company shall be the controller in relation to such processing. The purposes include but are not limited to: (a) taking necessary actions pursuant to the Plan; (b) administering and maintaining the Participant’s records; (c) providing any required information to other Relevant Companies, trustees or third-party administrators; (d) operating, evaluating and amending the Plan. Further conditions of processing of Relevant Information and information about Participant´s rights in that relation are set out in the Company’s Privacy Policy available at https://www.pattern.com/legal/privacy-policy.</w:t>
      </w:r>
    </w:p>
    <w:p>
      <w:pPr>
        <w:pStyle w:val="TextBody"/>
        <w:bidi w:val="0"/>
        <w:spacing w:before="0" w:after="0"/>
        <w:jc w:val="both"/>
        <w:rPr/>
      </w:pPr>
      <w:r>
        <w:rPr/>
      </w:r>
    </w:p>
    <w:p>
      <w:pPr>
        <w:pStyle w:val="TextBody"/>
        <w:bidi w:val="0"/>
        <w:spacing w:lineRule="auto" w:line="319"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SECTION 28: FINANCIAL RISKS AND INCOME TAX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85445"/>
                <wp:effectExtent l="0" t="0" r="0" b="0"/>
                <wp:wrapNone/>
                <wp:docPr id="278" name="Frame2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28:</w:t>
      </w:r>
    </w:p>
    <w:p>
      <w:pPr>
        <w:pStyle w:val="TextBody"/>
        <w:bidi w:val="0"/>
        <w:spacing w:lineRule="auto" w:line="302" w:before="240" w:after="283"/>
        <w:jc w:val="both"/>
        <w:rPr/>
      </w:pPr>
      <w:r>
        <w:rPr>
          <w:rFonts w:ascii="Times New Roman;serif" w:hAnsi="Times New Roman;serif"/>
          <w:b w:val="false"/>
          <w:color w:val="000000"/>
          <w:sz w:val="24"/>
        </w:rPr>
        <w:t xml:space="preserve">28. </w:t>
      </w:r>
      <w:r>
        <w:rPr>
          <w:rFonts w:ascii="Times New Roman;serif" w:hAnsi="Times New Roman;serif"/>
          <w:b w:val="false"/>
          <w:color w:val="000000"/>
          <w:sz w:val="24"/>
          <w:u w:val="single"/>
        </w:rPr>
        <w:t>Financial Risks and Income Tax</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Risk warning</w:t>
      </w:r>
      <w:r>
        <w:rPr>
          <w:rFonts w:ascii="Times New Roman;serif" w:hAnsi="Times New Roman;serif"/>
          <w:b w:val="false"/>
          <w:color w:val="000000"/>
          <w:sz w:val="24"/>
        </w:rPr>
        <w:t>. It is important that the Participant reads all the documents given to the Participant in relation to the Plan before deciding whether to participate in the Plan. In particular, the Participant should satisfy his or herself that they have sufficient understanding of the risks involved and consider if participation in the Plan is suitable for the Participant, having regard to the Participant’s investment objectives, financial circumstances and taxation position.</w:t>
      </w:r>
    </w:p>
    <w:p>
      <w:pPr>
        <w:pStyle w:val="TextBody"/>
        <w:bidi w:val="0"/>
        <w:spacing w:lineRule="auto" w:line="302" w:before="240" w:after="283"/>
        <w:jc w:val="both"/>
        <w:rPr/>
      </w:pPr>
      <w:r>
        <w:rPr>
          <w:rFonts w:ascii="Times New Roman;serif" w:hAnsi="Times New Roman;serif"/>
          <w:b w:val="false"/>
          <w:color w:val="000000"/>
          <w:sz w:val="24"/>
          <w:u w:val="single"/>
        </w:rPr>
        <w:t>No financial advice</w:t>
      </w:r>
      <w:r>
        <w:rPr>
          <w:rFonts w:ascii="Times New Roman;serif" w:hAnsi="Times New Roman;serif"/>
          <w:b w:val="false"/>
          <w:color w:val="000000"/>
          <w:sz w:val="24"/>
        </w:rPr>
        <w:t>. Nothing in this Plan:</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 constitutes financial product advice and any advice or information provided by the Company in relation to the Plan does not and cannot take into account the Participant’s objectives, financial situation or needs; and</w:t>
      </w:r>
    </w:p>
    <w:p>
      <w:pPr>
        <w:pStyle w:val="TextBody"/>
        <w:bidi w:val="0"/>
        <w:spacing w:lineRule="auto" w:line="302" w:before="240" w:after="283"/>
        <w:jc w:val="both"/>
        <w:rPr>
          <w:rFonts w:ascii="Times New Roman;serif" w:hAnsi="Times New Roman;serif"/>
          <w:b w:val="false"/>
          <w:color w:val="000000"/>
          <w:sz w:val="24"/>
        </w:rPr>
      </w:pPr>
      <w:r>
        <w:rPr>
          <w:rFonts w:ascii="Times New Roman;serif" w:hAnsi="Times New Roman;serif"/>
          <w:b w:val="false"/>
          <w:color w:val="000000"/>
          <w:sz w:val="24"/>
        </w:rPr>
        <w:t>(ii) should be taken to constitute a recommendation or statement of opinion that is intended to influence the Participant in making a decision to participate in the Plan.</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4"/>
          <w:u w:val="single"/>
        </w:rPr>
        <w:t>Income Tax</w:t>
      </w:r>
      <w:r>
        <w:rPr>
          <w:rFonts w:ascii="Times New Roman;serif" w:hAnsi="Times New Roman;serif"/>
          <w:b w:val="false"/>
          <w:color w:val="000000"/>
          <w:sz w:val="24"/>
        </w:rPr>
        <w:t>. Participant is strongly advised to consult with their personal tax advisor regarding the tax treatment of their participation on the Plan and of any subsequent transfer of instruments obtained pursuant to this Plan. The Participant is advised that the Participant is responsible for proper taxation pursuant to relevant Czech law of any income the Participant obtains by participating on the Plan including any taxable discount.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India with and subject to the following amendments and provisions for Participants in India. </w:t>
      </w:r>
    </w:p>
    <w:p>
      <w:pPr>
        <w:pStyle w:val="TextBody"/>
        <w:bidi w:val="0"/>
        <w:spacing w:lineRule="auto" w:line="556" w:before="0" w:after="0"/>
        <w:jc w:val="left"/>
        <w:rPr/>
      </w:pPr>
      <w:r>
        <w:rPr>
          <w:rFonts w:ascii="Times New Roman;serif" w:hAnsi="Times New Roman;serif"/>
          <w:b w:val="false"/>
          <w:color w:val="000000"/>
          <w:sz w:val="24"/>
        </w:rPr>
        <w:t>10.</w:t>
      </w:r>
      <w:r>
        <w:rPr>
          <w:rFonts w:ascii="Times New Roman;serif" w:hAnsi="Times New Roman;serif"/>
          <w:b w:val="false"/>
          <w:color w:val="000000"/>
          <w:sz w:val="24"/>
        </w:rPr>
        <w:t>SECTION 24: TAX WITHHOLDING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24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(a)    Participation in the Plan is subject to any applicable U.S. and non-U.S. federal, state or local tax withholding requirements on income the Participant realizes in connection with the Plan. Each Participant agrees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85445"/>
                <wp:effectExtent l="0" t="0" r="0" b="0"/>
                <wp:wrapNone/>
                <wp:docPr id="279" name="Frame2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appropriate to the extent permitted by U.S. Treasury Regulation Section 1.423-2(f) with respect to the 423 Component. The Company will not be required to issue any Common Stock under the Plan until such obligations are satisfied.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Participants who are Indian residents are liable to pay taxes when they receive shares of Common Stock. For the purposes of determining the amount of withholding tax, the fair market value of the shares will be determined by a category - 1 merchant banker duly registered with the Securities and Exchange Board of India (“SEBI”) as on the date of purchase/allotment of securities, as per the prevailing income tax law in India. Each Participant agrees to pay taxes by any of the methods prescribed in the Plan on the difference between fair market value and purchase price paid by the Participant. Each Participant shall also be responsible to pay tax on subsequent sale of shares at the applicable rates prevailing at the time of sale. Each Participant is also responsible to pay taxes on dividend income at the applicable rates prevailing at the time of declaration/receipt. Neither the Company nor any Subsidiary or Affiliates shall be responsible for the tax payable by the Participant on such subsequent sale. Each Participant agrees that it is his/her responsibility to comply with the payment of taxes and compliance requirements and the Participant shall consult his/her personal tax advisor in this regard.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Participants who are Indian residents are required to declare any foreign bank accounts and any foreign financial assets in their annual income tax returns (in schedule FA: details of foreign assets and income from source outside India). Each Participant is required to mandatorily file the tax returns if he/she has any assets outside India even if his/her income is below the threshold limit prescribed under the income tax law. Each Participant shall be responsible for complying with this reporting obligation and should confer with his/her personal tax advisor to determine his/her obligations in this regard.”</w:t>
      </w:r>
    </w:p>
    <w:p>
      <w:pPr>
        <w:pStyle w:val="TextBody"/>
        <w:bidi w:val="0"/>
        <w:spacing w:lineRule="auto" w:line="288" w:before="0" w:after="240"/>
        <w:jc w:val="left"/>
        <w:rPr/>
      </w:pPr>
      <w:r>
        <w:rPr>
          <w:rFonts w:ascii="Times New Roman;serif" w:hAnsi="Times New Roman;serif"/>
          <w:b w:val="false"/>
          <w:color w:val="000000"/>
          <w:sz w:val="24"/>
        </w:rPr>
        <w:t>11.</w:t>
      </w:r>
      <w:r>
        <w:rPr>
          <w:rFonts w:ascii="Times New Roman;serif" w:hAnsi="Times New Roman;serif"/>
          <w:b w:val="false"/>
          <w:color w:val="000000"/>
          <w:sz w:val="24"/>
        </w:rPr>
        <w:t>SECTION 27: SECURITIES LAW</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The following shall be added as a new Section 27:</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    The securities described in the Plan are being offered only to a select number of Participants who, in respect of this Indian Supplement are employees of Pattern Technologies India Private Limited. Such Participants may not be acting on behalf of or as an agent for, any other person or entity. Securities under the Plan will not be available for subscription or purchase by any other person or entity.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Plan and any corresponding documents (together, the “Plan Documents”), have neither been delivered for registration nor are they intended to be registered with any regulatory authorities in India. The Plan Documents are not intended for distribution and are meant solely for the consideration of the person to whom they are addressed and should not be reproduced by any Participant.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    The shares issued pursuant to the Plan do not constitute a public offering of securities under the (Indian) Companies Act, 2013 and are available only to those individuals as indicated in the Plan. The Plan Documents do not invite offers from the public for subscription or purchase of the securities of any body corporate under any law for the time being in force in India. The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85445"/>
                <wp:effectExtent l="0" t="0" r="0" b="0"/>
                <wp:wrapNone/>
                <wp:docPr id="280" name="Frame2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Plan Documents have not been prepared in accordance with and are not intended to constitute a ‘prospectus’ for, a public offering of securities under the applicable companies and securities legislation in India, and the Plan Documents have not been reviewed by any regulatory authority in India. The Plan Documents are intended only for the Participant’s personal use and not for distribution to any other persons.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The website on which the Plan Documents are hosted is not a prospectus under the applicable laws for the time being in force in India. The Company or Pattern Technologies India Private Limited do not intend to market, promote, or invite offers for subscription or purchase of the securities of any body corporate by virtue of providing the Participant with the Plan Documents. The information provided in the Plan Documents is for record purposes only.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    Any person who subscribes or purchases securities of any body corporate should consult their own investment advisers before making any investments. The Company or Pattern Technologies India Private Limited shall not be liable or responsible for any such investment decision made by any person.”</w:t>
      </w:r>
    </w:p>
    <w:p>
      <w:pPr>
        <w:pStyle w:val="TextBody"/>
        <w:bidi w:val="0"/>
        <w:spacing w:lineRule="auto" w:line="288" w:before="0" w:after="240"/>
        <w:jc w:val="left"/>
        <w:rPr/>
      </w:pPr>
      <w:r>
        <w:rPr>
          <w:rFonts w:ascii="Times New Roman;serif" w:hAnsi="Times New Roman;serif"/>
          <w:b w:val="false"/>
          <w:color w:val="000000"/>
          <w:sz w:val="24"/>
        </w:rPr>
        <w:t>12.</w:t>
      </w:r>
      <w:r>
        <w:rPr>
          <w:rFonts w:ascii="Times New Roman;serif" w:hAnsi="Times New Roman;serif"/>
          <w:b w:val="false"/>
          <w:color w:val="000000"/>
          <w:sz w:val="24"/>
        </w:rPr>
        <w:t>SECTION 28: EXCHANGE CONTROLS</w:t>
      </w:r>
    </w:p>
    <w:p>
      <w:pPr>
        <w:pStyle w:val="TextBody"/>
        <w:bidi w:val="0"/>
        <w:spacing w:lineRule="auto" w:line="556" w:before="0" w:after="0"/>
        <w:jc w:val="left"/>
        <w:rPr/>
      </w:pPr>
      <w:r>
        <w:rPr>
          <w:rFonts w:ascii="Times New Roman;serif" w:hAnsi="Times New Roman;serif"/>
          <w:b w:val="false"/>
          <w:color w:val="000000"/>
          <w:sz w:val="24"/>
        </w:rPr>
        <w:t>(a)</w:t>
      </w:r>
      <w:r>
        <w:rPr>
          <w:rFonts w:ascii="Times New Roman;serif" w:hAnsi="Times New Roman;serif"/>
          <w:b w:val="false"/>
          <w:color w:val="000000"/>
          <w:sz w:val="24"/>
        </w:rPr>
        <w:t>The following shall be added as a new Section 28:</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    Participant shall be solely responsible to comply with all applicable laws including but not limited to the (Indian) Foreign Exchange Management Act, 1999 and the rules and regulations thereunder, in respect of grant, vesting and exercise of the Option and the sale of the shares of Common Stock acquired under the Plan. Each Participant shall be required to comply with the applicable laws and requirements for remittance of the monies from India for exercise of the Option. Should the Participant sell the shares of Common Stock, the Participant acknowledges his/her obligation and agrees to: (i) repatriate to India, any proceeds from the sale of shares of Common Stock (or the receipt of any dividends to India) within 180 days of the date of sale, unless reinvested; and (ii) obtain a foreign inward remittance certificate (“FIRC”) from the bank in which Participant deposits the foreign currency and maintain the FIRC as an evidence of the repatriation of funds in the event the Reserve Bank of India (“RBI”), the Company or Pattern Technologies India Private Limited request for proof of repatriation. It is the Participant’s responsibility to comply with exchange control laws in India including making necessary disclosures to the RBI. The Company and Pattern Technologies India Private Limited shall not be liable for any fines or penalties resulting from the Participant’s failure to comply with any applicable 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In respect of any remittance of the monies from the India by Participant and in respect of receiving funds for sale of the shares of Common Stock, it is Participant’s responsibility to comply with the reporting requirements of the RBI, as per exchange control laws in India.”</w:t>
      </w:r>
    </w:p>
    <w:p>
      <w:pPr>
        <w:pStyle w:val="TextBody"/>
        <w:bidi w:val="0"/>
        <w:spacing w:lineRule="auto" w:line="556"/>
        <w:jc w:val="left"/>
        <w:rPr/>
      </w:pPr>
      <w:r>
        <w:rPr>
          <w:rFonts w:ascii="Times New Roman;serif" w:hAnsi="Times New Roman;serif"/>
          <w:b w:val="false"/>
          <w:color w:val="000000"/>
          <w:sz w:val="24"/>
        </w:rPr>
        <w:t>13.</w:t>
      </w:r>
      <w:r>
        <w:rPr>
          <w:rFonts w:ascii="Times New Roman;serif" w:hAnsi="Times New Roman;serif"/>
          <w:b w:val="false"/>
          <w:color w:val="000000"/>
          <w:sz w:val="24"/>
        </w:rPr>
        <w:t>SECTION 29: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85445"/>
                <wp:effectExtent l="0" t="0" r="0" b="0"/>
                <wp:wrapNone/>
                <wp:docPr id="281" name="Frame2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(a)</w:t>
      </w:r>
      <w:r>
        <w:rPr>
          <w:rFonts w:ascii="Times New Roman;serif" w:hAnsi="Times New Roman;serif"/>
          <w:b w:val="false"/>
          <w:color w:val="000000"/>
          <w:sz w:val="24"/>
        </w:rPr>
        <w:t>The following shall be added as a new Section 29:</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Participant’s participation in the Plan does not create a right to employment or continuing employment with the Company or any Subsidiary or Affiliate. The Options or shares of Common Stock issued under the Plan, shall not constitute wages or salary for the purposes of calculating any statutory or contractual payments.”</w:t>
      </w:r>
    </w:p>
    <w:p>
      <w:pPr>
        <w:pStyle w:val="TextBody"/>
        <w:bidi w:val="0"/>
        <w:spacing w:lineRule="auto" w:line="288" w:before="0" w:after="240"/>
        <w:jc w:val="left"/>
        <w:rPr/>
      </w:pPr>
      <w:r>
        <w:rPr>
          <w:rFonts w:ascii="Times New Roman;serif" w:hAnsi="Times New Roman;serif"/>
          <w:b w:val="false"/>
          <w:color w:val="000000"/>
          <w:sz w:val="24"/>
        </w:rPr>
        <w:t>14.</w:t>
      </w:r>
      <w:r>
        <w:rPr>
          <w:rFonts w:ascii="Times New Roman;serif" w:hAnsi="Times New Roman;serif"/>
          <w:b w:val="false"/>
          <w:color w:val="000000"/>
          <w:sz w:val="24"/>
        </w:rPr>
        <w:t>SECTION 30: DATA PRIVACY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30:</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    The Company and/or Pattern Technologies India Private Limited, may be required to collect, retain and process personal data or information about for the exclusive purpose of implementing, administering and managing Participant’s participation in the Plan and such personal data or information may include sensitive personal data or information as defined under applicable laws, the nature and amount of Participant’s compensation and the fact and conditions of Participant’s participation in the Plan, including, but not limited to, name, home address, telephone number and e-mail address, date of birth, any identification number, salary or other compensation, nationality, job title, any equity or directorships held in the Company or Pattern Technologies India Private Limited, and details of the Option or any other entitlement to equity awarded, cancelled, exercised, vested, unvested or outstanding in Participant’s favour, in connection with the implementation, management and administration of the Plan (“Data”).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bona fide collection and processing of Data may also involve disclosure and sharing of Data with affiliates of the Company or any third party and transfer of sensitive personal information outside India. At all times Data will be kept confidential and only be shared or disclosed for legal and authorized purposes. By signing the Acceptance Notice, the Participant provides his/her consent, permission and authorization to the Company and Pattern Technologies India Private Limited, to collect, store, process and transfer any Data relating to the Participant for legitimate legal and administrative purposes.”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Poland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rules of the Plan apply in Poland with and subject to the following amendments and provisions for Participants in Poland.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 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definition of “Compensation” will be deleted and replaced with the following: </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 xml:space="preserve">The term “Compensation” means the amount of base pay only, prior to salary reduction pursuant to art. 87 of the Polish Labour Code, thus excluding overtime, commissions, incentive or bonus awards, allowances and reimbursements for expenses such as relocation allowances or travel expenses, income or gains related to options or other share-based awards, and similar items.”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85445"/>
                <wp:effectExtent l="0" t="0" r="0" b="0"/>
                <wp:wrapNone/>
                <wp:docPr id="282" name="Frame2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definition of “Termination for Cause” shall be added, which shall have the following wording: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The term “Termination for Cause” means termination of employment contract without notice pursuant to art. 52 and/or 53 of the Polish Labour Code.”</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Singapore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Singapore with and subject to the following amendments and provisions for Participants in Singapore. </w:t>
      </w:r>
    </w:p>
    <w:p>
      <w:pPr>
        <w:pStyle w:val="TextBody"/>
        <w:bidi w:val="0"/>
        <w:spacing w:lineRule="auto" w:line="288" w:before="0" w:after="240"/>
        <w:jc w:val="left"/>
        <w:rPr/>
      </w:pPr>
      <w:r>
        <w:rPr>
          <w:rFonts w:ascii="Times New Roman;serif" w:hAnsi="Times New Roman;serif"/>
          <w:b w:val="false"/>
          <w:color w:val="000000"/>
          <w:sz w:val="24"/>
        </w:rPr>
        <w:t>15.</w:t>
      </w:r>
      <w:r>
        <w:rPr>
          <w:rFonts w:ascii="Times New Roman;serif" w:hAnsi="Times New Roman;serif"/>
          <w:b w:val="false"/>
          <w:color w:val="000000"/>
          <w:sz w:val="24"/>
        </w:rPr>
        <w:t>SECTION 12: RIGHTS ON TERMINATION OR TRANSFER OF EMPLOYMENT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and all other applicable laws and regulations governing the Participant’s Option, including but not limited to the Securities and Futures Act 2001 of Singapore (“SFA”). If a Participant transfers from an Offering under the Non-423 Component to an Offering under the 423 Component, the exercise of the Participant’s Option will remain non-qualified under the Non-423 Component, provided that such exercise complies with all applicable laws and regulations governing the Participant’s Option, including but not limited to the SFA.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South Korea</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85445"/>
                <wp:effectExtent l="0" t="0" r="0" b="0"/>
                <wp:wrapNone/>
                <wp:docPr id="283" name="Frame2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Plan shall apply in the Republic of Korea with and subject to the following amendments and provisions for Participants in the Republic of Korea. </w:t>
      </w:r>
    </w:p>
    <w:p>
      <w:pPr>
        <w:pStyle w:val="TextBody"/>
        <w:bidi w:val="0"/>
        <w:spacing w:lineRule="auto" w:line="288" w:before="0" w:after="240"/>
        <w:jc w:val="left"/>
        <w:rPr/>
      </w:pPr>
      <w:r>
        <w:rPr>
          <w:rFonts w:ascii="Times New Roman;serif" w:hAnsi="Times New Roman;serif"/>
          <w:b w:val="false"/>
          <w:color w:val="000000"/>
          <w:sz w:val="24"/>
        </w:rPr>
        <w:t>16.</w:t>
      </w:r>
      <w:r>
        <w:rPr>
          <w:rFonts w:ascii="Times New Roman;serif" w:hAnsi="Times New Roman;serif"/>
          <w:b w:val="false"/>
          <w:color w:val="000000"/>
          <w:sz w:val="24"/>
        </w:rPr>
        <w:t>SECTION 24: TAX WITHHOLDING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24 will be deleted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 Each Participant that is employed by Pattern Trading SK acknowledges that Pattern Trading SK may be required to pay withholding taxes to the Republic of Korea’s (“RoK”) tax authorities in connection with income earned by each such Participant’s exercise of any Options granted under the Plan and agree that Pattern Trading SK may and is authorised to withhold amounts sufficient to satisfy such withholding obligations from a Participant’s wages, salary or other compensation. Notwithstanding the foregoing, each Participant shall be responsible for the making of all necessary and/or applicable tax filings, reports, payments and/or settlements as may be required in RoK including, for the avoidance of doubt, any overseas financial account reporting obligations (which at the time hereof is triggered should the aggregated value of a Participant’s financial assets (including any Common Stock delivered under the Plan) held in financial accounts at any non-RoK financial institution exceed KRW 500,000,000 on the last day of any month during a calendar year).”</w:t>
      </w:r>
    </w:p>
    <w:p>
      <w:pPr>
        <w:pStyle w:val="TextBody"/>
        <w:bidi w:val="0"/>
        <w:spacing w:lineRule="auto" w:line="288" w:before="0" w:after="240"/>
        <w:jc w:val="left"/>
        <w:rPr/>
      </w:pPr>
      <w:r>
        <w:rPr>
          <w:rFonts w:ascii="Times New Roman;serif" w:hAnsi="Times New Roman;serif"/>
          <w:b w:val="false"/>
          <w:color w:val="000000"/>
          <w:sz w:val="24"/>
        </w:rPr>
        <w:t>17.</w:t>
      </w:r>
      <w:r>
        <w:rPr>
          <w:rFonts w:ascii="Times New Roman;serif" w:hAnsi="Times New Roman;serif"/>
          <w:b w:val="false"/>
          <w:color w:val="000000"/>
          <w:sz w:val="24"/>
        </w:rPr>
        <w:t>SECTION 27: PRIVACY CONSIDERATIONS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27:</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Personal Information Protection Act (PIPA) Matters</w:t>
      </w:r>
      <w:r>
        <w:rPr>
          <w:rFonts w:ascii="Times New Roman;serif" w:hAnsi="Times New Roman;serif"/>
          <w:b w:val="false"/>
          <w:color w:val="000000"/>
          <w:sz w:val="24"/>
        </w:rPr>
        <w:t>. Korea-resident persons wishing to participate in the Plan must complete a PIPA-compliant consent form for the transfer of personal information in order to be eligible to do so.”</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United Arab Emirates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rules of the Plan apply in the United Arab Emirates (“UAE”) with and subject to the following amendments and provisions for Participants in the UAE.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85445"/>
                <wp:effectExtent l="0" t="0" r="0" b="0"/>
                <wp:wrapNone/>
                <wp:docPr id="284" name="Frame2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18.</w:t>
      </w:r>
      <w:r>
        <w:rPr>
          <w:rFonts w:ascii="Times New Roman;serif" w:hAnsi="Times New Roman;serif"/>
          <w:b w:val="false"/>
          <w:color w:val="000000"/>
          <w:sz w:val="24"/>
        </w:rPr>
        <w:t>SECTION 22: GOVERNING LAW</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22 will be deleted and replaced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This Plan, this UAE Supplement and all Options and actions taken thereunder shall be governed by, and construed in accordance with, the laws of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dispute or controversy arising under or in connection with this Plan or any Award granted hereunder, at any time, shall be submitted to binding arbitration before a single arbitrator in accordance with the JAMS Comprehensive Arbitration Rules &amp; Procedures then in effect, except for those claims that may not be subject to arbitration as a matter of law. These rules may be found through a web-based search, or a copy may be requested at any time from Company. The Company and grantee agree to arbitrate the disputes covered by this arbitration agreement and waive any right to a jury trial or trial before a judge with respect to them.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the parties would be entitled to seek in a court of law, and the arbitrator shall be experienced in handling the kinds of claims at issue in the dispute. Subject to any fee or cost-recovery rights a party would be entitled to under law, each party shall bear its own attorney fees and costs (including those charged by JAMS) in connection with the arbitration proceeding, and the parties shall divide equally the cost of any arbitration administrative fee and the compensation of the arbitrator, unless legal mandates would require a different cost allocation. The prevailing party in arbitration may recover its reasonable costs and fees upon conclusion of the arbitration. Subject to the ability of the parties hereto to vacate a decision or award under the Federal Arbitration Act, any decision or award of the arbitrator shall be final, binding and conclusive on the parties. Claims shall be brought in arbitration on an individual basis only. The arbitration shall take place in a mutually agreeable location, or if no such location can be agreed upon, in Denver, Colorado, United States. The Company and grantee shall each be permitted to seek injunctive relief in a court of proper jurisdiction in order to protect its rights until such time as judgment is entered upon an arbitration award. Any argument as to the enforceability of these arbitration terms or the scope of these arbitration terms are delegated to the arbitrator.”</w:t>
      </w:r>
    </w:p>
    <w:p>
      <w:pPr>
        <w:pStyle w:val="TextBody"/>
        <w:bidi w:val="0"/>
        <w:spacing w:lineRule="auto" w:line="288" w:before="0" w:after="240"/>
        <w:jc w:val="left"/>
        <w:rPr/>
      </w:pPr>
      <w:r>
        <w:rPr>
          <w:rFonts w:ascii="Times New Roman;serif" w:hAnsi="Times New Roman;serif"/>
          <w:b w:val="false"/>
          <w:color w:val="000000"/>
          <w:sz w:val="24"/>
        </w:rPr>
        <w:t>19.</w:t>
      </w:r>
      <w:r>
        <w:rPr>
          <w:rFonts w:ascii="Times New Roman;serif" w:hAnsi="Times New Roman;serif"/>
          <w:b w:val="false"/>
          <w:color w:val="000000"/>
          <w:sz w:val="24"/>
        </w:rPr>
        <w:t>SECTION 27: NATURE OF GRANT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27:</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The Participant acknowledges that the Options, the Plan, this UAE Supplement and their participation in the Plan do not create any claims against the Company or any Designated Company (or employer of record) (collectively, the “Group”) engaging them, either directly or indirectly. The Participant acknowledges that the Options and related benefits do not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85445"/>
                <wp:effectExtent l="0" t="0" r="0" b="0"/>
                <wp:wrapNone/>
                <wp:docPr id="285" name="Frame2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component of their “wages” for any legal purpose. Therefore, the Options and related benefits will not be included and/or considered for purposes of calculating any and all labour benefits, such as end of service gratuity and/or any other labour-related amounts which may be payable.”</w:t>
      </w:r>
    </w:p>
    <w:p>
      <w:pPr>
        <w:pStyle w:val="TextBody"/>
        <w:bidi w:val="0"/>
        <w:spacing w:lineRule="auto" w:line="288" w:before="0" w:after="240"/>
        <w:jc w:val="left"/>
        <w:rPr/>
      </w:pPr>
      <w:r>
        <w:rPr>
          <w:rFonts w:ascii="Times New Roman;serif" w:hAnsi="Times New Roman;serif"/>
          <w:b w:val="false"/>
          <w:color w:val="000000"/>
          <w:sz w:val="24"/>
        </w:rPr>
        <w:t>20.</w:t>
      </w:r>
      <w:r>
        <w:rPr>
          <w:rFonts w:ascii="Times New Roman;serif" w:hAnsi="Times New Roman;serif"/>
          <w:b w:val="false"/>
          <w:color w:val="000000"/>
          <w:sz w:val="24"/>
        </w:rPr>
        <w:t>SECTION 28: SECURITIES LAW INFORMATION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28:</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Options are being offered only to eligible employees of the Company or any Designated Company (or employer of record) and are in the nature of providing equity incentives to these individuals based in the UAE. The Plan and this UAE Supplement is intended for distribution only to such eligible employees and must not be delivered to, or relied on by, any other person. Prospective acquirers of the securities offered should conduct their own due diligence on the securities.”</w:t>
      </w:r>
    </w:p>
    <w:p>
      <w:pPr>
        <w:pStyle w:val="TextBody"/>
        <w:bidi w:val="0"/>
        <w:spacing w:lineRule="auto" w:line="288" w:before="0" w:after="240"/>
        <w:jc w:val="left"/>
        <w:rPr/>
      </w:pPr>
      <w:r>
        <w:rPr>
          <w:rFonts w:ascii="Times New Roman;serif" w:hAnsi="Times New Roman;serif"/>
          <w:b w:val="false"/>
          <w:color w:val="000000"/>
          <w:sz w:val="24"/>
        </w:rPr>
        <w:t>21.</w:t>
      </w:r>
      <w:r>
        <w:rPr>
          <w:rFonts w:ascii="Times New Roman;serif" w:hAnsi="Times New Roman;serif"/>
          <w:b w:val="false"/>
          <w:color w:val="000000"/>
          <w:sz w:val="24"/>
        </w:rPr>
        <w:t xml:space="preserve">SECTION 29: DATA PRIVACY CONSENT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29:</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In order to administer the Plan and to implement or structure future equity grants, the Company, its Designated Companies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(the “Relevant Information”). By agreeing to participate in the Plan, the Participant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in accordance with the UAE Federal Decree Law No. 45 of 2021 as amended and/or any other relevant laws as may be in effect from time to time. The Participant shall have access to, and the right to change, the Relevant Information. Relevant Information will only be used in accordance with applicable law.”</w:t>
      </w:r>
    </w:p>
    <w:p>
      <w:pPr>
        <w:pStyle w:val="TextBody"/>
        <w:bidi w:val="0"/>
        <w:spacing w:lineRule="auto" w:line="288" w:before="0" w:after="240"/>
        <w:jc w:val="left"/>
        <w:rPr/>
      </w:pPr>
      <w:r>
        <w:rPr>
          <w:rFonts w:ascii="Times New Roman;serif" w:hAnsi="Times New Roman;serif"/>
          <w:b w:val="false"/>
          <w:color w:val="000000"/>
          <w:sz w:val="24"/>
        </w:rPr>
        <w:t>22.</w:t>
      </w:r>
      <w:r>
        <w:rPr>
          <w:rFonts w:ascii="Times New Roman;serif" w:hAnsi="Times New Roman;serif"/>
          <w:b w:val="false"/>
          <w:color w:val="000000"/>
          <w:sz w:val="24"/>
        </w:rPr>
        <w:t xml:space="preserve">SECTION 30: DISCLAIMER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shall be added as a new Section 30:</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The Plan, this UAE Supplement and any documents and agreements referred to therein have not been approved or licensed by the UAE Securities and Commodities Authority or any other relevant licensing authorities or governmental agencies in the UAE. The Plan and this UAE Supplement are strictly private and confidential and have not been reviewed by, deposited or registered with the UAE Securities and Commodities Authority or any other licensing authority or governmental agencies in the UAE. The Plan and this UAE Supplement have been issued from outside the UAE and must not be provided to any person other than the Participant and may not be reproduced or used for any other purpose. Further, the information contained in this UAE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85445"/>
                <wp:effectExtent l="0" t="0" r="0" b="0"/>
                <wp:wrapNone/>
                <wp:docPr id="286" name="Frame2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 and/or the Plan is not intended to lead to the issue of any securities or the conclusion of any other contract of whatsoever nature within the territory of the UAE. The Participant should, as a prospective stockholder, conduct their own due diligence on the securities. If the Participant does not understand the contents of the award documentation, they should consult an authorized financial advisor.”</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85445"/>
                <wp:effectExtent l="0" t="0" r="0" b="0"/>
                <wp:wrapNone/>
                <wp:docPr id="287" name="Frame2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PATTERN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before="0" w:after="0"/>
        <w:jc w:val="center"/>
        <w:rPr/>
      </w:pPr>
      <w:r>
        <w:rPr/>
      </w:r>
    </w:p>
    <w:p>
      <w:pPr>
        <w:pStyle w:val="TextBody"/>
        <w:bidi w:val="0"/>
        <w:spacing w:lineRule="auto" w:line="288" w:before="0" w:after="360"/>
        <w:ind w:left="0" w:right="0" w:firstLine="720"/>
        <w:jc w:val="both"/>
        <w:rPr/>
      </w:pPr>
      <w:r>
        <w:rPr>
          <w:rFonts w:ascii="Times New Roman;serif" w:hAnsi="Times New Roman;serif"/>
          <w:b w:val="false"/>
          <w:color w:val="000000"/>
          <w:sz w:val="22"/>
        </w:rPr>
        <w:t>Pattern Group Inc. and its subsidiaries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has adopted the following policy and procedures for securities trading by Company directors, employees, contractors, and other designated individuals (our “</w:t>
      </w:r>
      <w:r>
        <w:rPr>
          <w:rFonts w:ascii="Times New Roman;serif" w:hAnsi="Times New Roman;serif"/>
          <w:b w:val="false"/>
          <w:color w:val="000000"/>
          <w:sz w:val="22"/>
          <w:u w:val="single"/>
        </w:rPr>
        <w:t>Insider Trading Policy</w:t>
      </w:r>
      <w:r>
        <w:rPr>
          <w:color w:val="000000"/>
        </w:rPr>
        <w:t>”</w:t>
      </w:r>
      <w:r>
        <w:rPr>
          <w:rFonts w:ascii="Times New Roman;serif" w:hAnsi="Times New Roman;serif"/>
          <w:b w:val="false"/>
          <w:color w:val="000000"/>
          <w:sz w:val="22"/>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w:t>
      </w:r>
      <w:r>
        <w:rPr>
          <w:color w:val="000000"/>
        </w:rPr>
        <w:t xml:space="preserve"> </w:t>
      </w:r>
      <w:r>
        <w:rPr>
          <w:rFonts w:ascii="Times New Roman;serif" w:hAnsi="Times New Roman;serif"/>
          <w:b w:val="false"/>
          <w:color w:val="000000"/>
          <w:sz w:val="22"/>
        </w:rPr>
        <w:t>Our Board of Directors (the “Board”) has approved this Insider Trading Policy and has appointed the Company’s General Counsel and/or their designee(s) to serve as the compliance officer (collectively, the “</w:t>
      </w:r>
      <w:r>
        <w:rPr>
          <w:rFonts w:ascii="Times New Roman;serif" w:hAnsi="Times New Roman;serif"/>
          <w:b w:val="false"/>
          <w:color w:val="000000"/>
          <w:sz w:val="22"/>
          <w:u w:val="single"/>
        </w:rPr>
        <w:t>Compliance Officer</w:t>
      </w:r>
      <w:r>
        <w:rPr>
          <w:color w:val="000000"/>
        </w:rPr>
        <w:t>”</w:t>
      </w:r>
      <w:r>
        <w:rPr>
          <w:rFonts w:ascii="Times New Roman;serif" w:hAnsi="Times New Roman;serif"/>
          <w:b w:val="false"/>
          <w:color w:val="000000"/>
          <w:sz w:val="22"/>
        </w:rPr>
        <w:t>) to administer the policy and to be available to answer your questions.</w:t>
      </w:r>
    </w:p>
    <w:p>
      <w:pPr>
        <w:pStyle w:val="TextBody"/>
        <w:bidi w:val="0"/>
        <w:spacing w:lineRule="auto" w:line="288" w:before="0" w:after="360"/>
        <w:jc w:val="left"/>
        <w:rPr>
          <w:rFonts w:ascii="Times New Roman;serif" w:hAnsi="Times New Roman;serif"/>
          <w:b/>
          <w:color w:val="000000"/>
          <w:sz w:val="22"/>
        </w:rPr>
      </w:pPr>
      <w:r>
        <w:rPr>
          <w:rFonts w:ascii="Times New Roman;serif" w:hAnsi="Times New Roman;serif"/>
          <w:b/>
          <w:color w:val="000000"/>
          <w:sz w:val="22"/>
        </w:rPr>
        <w:t>PART I. OVERVIEW</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A.    Who Must Comply?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Insider Trading Policy applies to all of our officers, employees and members of our Board, including anyone employed by or acting as a director of any of the Company’s subsidiaries, as well as contractors retained by the Company or its subsidiaries, and any other individuals whom the Compliance Officer may designate as Insiders because they have access to material nonpublic information about the Company (collectively, we will refer to these individuals in this policy as “</w:t>
      </w:r>
      <w:r>
        <w:rPr>
          <w:rFonts w:ascii="Times New Roman;serif" w:hAnsi="Times New Roman;serif"/>
          <w:b w:val="false"/>
          <w:color w:val="000000"/>
          <w:sz w:val="22"/>
          <w:u w:val="single"/>
        </w:rPr>
        <w:t>Insiders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All Insiders must comply with the Trading Procedures included in Part II of this Insider Trading Policy (the “</w:t>
      </w:r>
      <w:r>
        <w:rPr>
          <w:rFonts w:ascii="Times New Roman;serif" w:hAnsi="Times New Roman;serif"/>
          <w:b w:val="false"/>
          <w:color w:val="000000"/>
          <w:sz w:val="22"/>
          <w:u w:val="single"/>
        </w:rPr>
        <w:t>Trading Procedures</w:t>
      </w:r>
      <w:r>
        <w:rPr>
          <w:color w:val="000000"/>
        </w:rPr>
        <w:t>”</w:t>
      </w:r>
      <w:r>
        <w:rPr>
          <w:rFonts w:ascii="Times New Roman;serif" w:hAnsi="Times New Roman;serif"/>
          <w:b w:val="false"/>
          <w:color w:val="000000"/>
          <w:sz w:val="22"/>
        </w:rPr>
        <w:t xml:space="preserve">). Please note that all Insiders are prohibited from trading in Company securities outside of the quarterly trading windows established in Part II, Sections (A)(1) and (A)(2) below and are prohibited from engaging in the transactions described in Part II, Section (A)(3).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Procedures provide rules for when Insiders can trade in our securities and explain the process for mandatory pre-clearance of proposed trades for those persons identified by the Compliance Officer as “Designated Insiders”. You will be notified if you are a Designated Insider. The Compliance Officer retains the discretion to modify the applicability of the Part II Trading Procedures in their discretion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Insider Trading Policy and the Trading Procedures also apply to the following persons (“</w:t>
      </w:r>
      <w:r>
        <w:rPr>
          <w:rFonts w:ascii="Times New Roman;serif" w:hAnsi="Times New Roman;serif"/>
          <w:b w:val="false"/>
          <w:color w:val="000000"/>
          <w:sz w:val="22"/>
          <w:u w:val="single"/>
        </w:rPr>
        <w:t>Affiliated Persons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2"/>
        </w:rPr>
        <w:t>your “</w:t>
      </w:r>
      <w:r>
        <w:rPr>
          <w:rFonts w:ascii="Times New Roman;serif" w:hAnsi="Times New Roman;serif"/>
          <w:b w:val="false"/>
          <w:color w:val="000000"/>
          <w:sz w:val="22"/>
          <w:u w:val="single"/>
        </w:rPr>
        <w:t>Family Members</w:t>
      </w:r>
      <w:r>
        <w:rPr>
          <w:color w:val="000000"/>
        </w:rPr>
        <w:t xml:space="preserve">” </w:t>
      </w:r>
      <w:r>
        <w:rPr>
          <w:rFonts w:ascii="Times New Roman;serif" w:hAnsi="Times New Roman;serif"/>
          <w:b w:val="false"/>
          <w:color w:val="000000"/>
          <w:sz w:val="22"/>
        </w:rPr>
        <w:t>(“Family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merely paying a phone bill.);</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2"/>
        </w:rPr>
        <w:t xml:space="preserve">all trusts, family partnerships and other types of entities formed for your benefit or for the benefit of a member of your family and over which you have the ability to influence or direct investment decisions concerning securities;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2"/>
        </w:rPr>
        <w:t>all persons who execute trades on your behalf; and</w:t>
      </w:r>
    </w:p>
    <w:p>
      <w:pPr>
        <w:pStyle w:val="TextBody"/>
        <w:bidi w:val="0"/>
        <w:spacing w:before="0" w:after="0"/>
        <w:jc w:val="righ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2"/>
        </w:rPr>
        <w:t xml:space="preserve">all investment funds, trusts, retirement plans, partnerships, corporations and other types of entities over which you have the ability to influence or direct investment decisions concerning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“Affiliated Persons” does not include, and this Policy and the Trading Procedures do not apply to, any such entity that engages in the investment of securities in the ordinary course of its business (e.g., an investment fund or partnership) if the entity has represented to the Company that it (or its affiliated entities) has established insider trading controls and procedures in compliance with securities laws and is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You are responsible for ensuring compliance with this Insider Trading Policy, including the Trading Procedures contained herein, by all of your Affiliated Persons.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B.    What is Prohibited by this Insider Trading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You and your Affiliated Persons are prohibited from engaging in insider trading and from otherwise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Prohibition on Trading in Company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When you are in possession of material nonpublic information about the Company, whether positive or negative, you are prohibited from trading (whether for your account of for the account of another) in the Company’s securities, which include common stock, restricted stock units,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Securities Exchange Act of 1934, as amended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trading prohibitions in this Insider Trading Policy do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apply to: (1) an exercise of a stock option when payment of the exercise price is made in cash or (2) the withholding by the Company of shares of stock upon vesting of restricted stock, upon settlement of restricted stock units or upon the exercise of options granted under the ESPP (as defined below), in any case, to satisfy applicable tax withholding requirements if (a) such withholding is required by the applicable plan or award agreement or (b) the election to exercise such tax withholding right was made by the Insider in compliance with the Trading Procedures or (3) mandatory, non-discretionary sales of shares of stock in accordance with the Company’s applicable equity award plans and agreements, including in connection with the vesting of restricted stock, upon settlement of restricted stock units, or upon the exercise of options granted under the ESPP, in each case, solely to satisfy applicable tax withholding requirements.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trading prohibitions in this Insider Trading Policy </w:t>
      </w:r>
      <w:r>
        <w:rPr>
          <w:rFonts w:ascii="Times New Roman;serif" w:hAnsi="Times New Roman;serif"/>
          <w:b w:val="false"/>
          <w:color w:val="000000"/>
          <w:sz w:val="22"/>
          <w:u w:val="single"/>
        </w:rPr>
        <w:t>do</w:t>
      </w:r>
      <w:r>
        <w:rPr>
          <w:color w:val="000000"/>
        </w:rPr>
        <w:t xml:space="preserve"> </w:t>
      </w:r>
      <w:r>
        <w:rPr>
          <w:rFonts w:ascii="Times New Roman;serif" w:hAnsi="Times New Roman;serif"/>
          <w:b w:val="false"/>
          <w:color w:val="000000"/>
          <w:sz w:val="22"/>
        </w:rPr>
        <w:t>apply, however, to the use of outstanding Company securities to pay part or all of the exercise price of a stock option, any net option exercise, any exercise of a stock appreciation right, share withholding, any sale of stock as part of a broker-assisted cashless exercise of an option and any other market sale for the purpose of generating the cash needed to pay the exercise price of an option.</w:t>
      </w:r>
    </w:p>
    <w:p>
      <w:pPr>
        <w:pStyle w:val="TextBody"/>
        <w:bidi w:val="0"/>
        <w:spacing w:before="0" w:after="0"/>
        <w:jc w:val="righ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52400"/>
                <wp:effectExtent l="0" t="0" r="0" b="0"/>
                <wp:wrapNone/>
                <wp:docPr id="289" name="Frame281"/>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Prohibition on Tipping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Providing material nonpublic information about the Company to another person who may trade or advise others to trade on the basis of that information is known as “</w:t>
      </w:r>
      <w:r>
        <w:rPr>
          <w:rFonts w:ascii="Times New Roman;serif" w:hAnsi="Times New Roman;serif"/>
          <w:b w:val="false"/>
          <w:color w:val="000000"/>
          <w:sz w:val="22"/>
          <w:u w:val="single"/>
        </w:rPr>
        <w:t>tipping</w:t>
      </w:r>
      <w:r>
        <w:rPr>
          <w:color w:val="000000"/>
        </w:rPr>
        <w:t xml:space="preserve">” </w:t>
      </w:r>
      <w:r>
        <w:rPr>
          <w:rFonts w:ascii="Times New Roman;serif" w:hAnsi="Times New Roman;serif"/>
          <w:b w:val="false"/>
          <w:color w:val="000000"/>
          <w:sz w:val="22"/>
        </w:rPr>
        <w:t>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Prohibition on Trading in Securities of Other Companies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 If your work regularly involves handling or discussing confidential information of companies in either of the foregoing categories, you should consult with the Compliance Officer before trading in any of those companies’ securities. </w:t>
      </w:r>
    </w:p>
    <w:p>
      <w:pPr>
        <w:pStyle w:val="TextBody"/>
        <w:bidi w:val="0"/>
        <w:spacing w:lineRule="auto" w:line="288" w:before="0" w:after="240"/>
        <w:jc w:val="both"/>
        <w:rPr/>
      </w:pPr>
      <w:r>
        <w:rPr>
          <w:rFonts w:ascii="Times New Roman;serif" w:hAnsi="Times New Roman;serif"/>
          <w:b w:val="false"/>
          <w:color w:val="000000"/>
          <w:sz w:val="22"/>
        </w:rPr>
        <w:t>If you become aware of material nonpublic information about us, other companies in our industry, or industry trends that we are experiencing or are expected to experience, you should exercise caution when trading in the securities of another company (such as a competitor or supplier). 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The U.S. Securities and Exchange Commission (the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has successfully brought insider trading claims against insiders in the above circumstances.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Other Prohibited Transactions</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2"/>
        </w:rPr>
        <w:t>No Short Sales</w:t>
      </w:r>
      <w:r>
        <w:rPr>
          <w:rFonts w:ascii="Times New Roman;serif" w:hAnsi="Times New Roman;serif"/>
          <w:b w:val="false"/>
          <w:color w:val="000000"/>
          <w:sz w:val="22"/>
        </w:rPr>
        <w:t xml:space="preserve">. You may not at any time sell any securities of the Company that are not owned by you at the time of the sale (a “short sale”). </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2"/>
        </w:rPr>
        <w:t>No Purchases or Sales of Derivative Securities or Hedging Transactions</w:t>
      </w:r>
      <w:r>
        <w:rPr>
          <w:rFonts w:ascii="Times New Roman;serif" w:hAnsi="Times New Roman;serif"/>
          <w:b w:val="false"/>
          <w:i/>
          <w:color w:val="000000"/>
          <w:sz w:val="22"/>
        </w:rPr>
        <w:t xml:space="preserve">. </w:t>
      </w:r>
      <w:r>
        <w:rPr>
          <w:rFonts w:ascii="Times New Roman;serif" w:hAnsi="Times New Roman;serif"/>
          <w:b w:val="false"/>
          <w:color w:val="000000"/>
          <w:sz w:val="22"/>
        </w:rPr>
        <w:t>You may not buy or sell puts, calls, 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r>
        <w:rPr>
          <w:color w:val="000000"/>
        </w:rPr>
        <w:t xml:space="preserve"> </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2"/>
        </w:rPr>
        <w:t>No Company Securities Subject to Margin Calls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You may not use the Company’s securities as collateral in a margin account. When considering utilizing the margin feature on any brokerage account, Insiders should carefully review any terms and conditions to ensure that there is no possibility that the Company’s securities could be considered collateral in any circumstances.</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2"/>
        </w:rPr>
        <w:t>No Pledges</w:t>
      </w:r>
      <w:r>
        <w:rPr>
          <w:rFonts w:ascii="Times New Roman;serif" w:hAnsi="Times New Roman;serif"/>
          <w:b w:val="false"/>
          <w:color w:val="000000"/>
          <w:sz w:val="22"/>
        </w:rPr>
        <w:t xml:space="preserve">. Directors and officers may not pledge Company securities as collateral for a loan. </w:t>
      </w:r>
    </w:p>
    <w:p>
      <w:pPr>
        <w:pStyle w:val="TextBody"/>
        <w:bidi w:val="0"/>
        <w:spacing w:before="0" w:after="0"/>
        <w:jc w:val="righ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52400"/>
                <wp:effectExtent l="0" t="0" r="0" b="0"/>
                <wp:wrapNone/>
                <wp:docPr id="290" name="Frame28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Duration of Trading Prohibitions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Insider Trading Policy applies to you and your Affiliated Persons so long as you are associated with the Company. If you leave the Company for any reason, this Insider Trading Policy, including, if applicable, the Trading Procedures described in Part 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C.    What is Material Nonpublic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Insider Trading Policy prohibits you from trading in a company’s securities if you are in possession of information about the company that is both “</w:t>
      </w:r>
      <w:r>
        <w:rPr>
          <w:rFonts w:ascii="Times New Roman;serif" w:hAnsi="Times New Roman;serif"/>
          <w:b w:val="false"/>
          <w:i/>
          <w:color w:val="000000"/>
          <w:sz w:val="22"/>
        </w:rPr>
        <w:t>material</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rPr>
        <w:t>nonpublic</w:t>
      </w:r>
      <w:r>
        <w:rPr>
          <w:rFonts w:ascii="Times New Roman;serif" w:hAnsi="Times New Roman;serif"/>
          <w:b w:val="false"/>
          <w:color w:val="000000"/>
          <w:sz w:val="22"/>
        </w:rPr>
        <w:t>.” If you have a question whether certain information you are aware of is material or has been made public, you should consult with the Compliance Officer.</w:t>
      </w:r>
    </w:p>
    <w:p>
      <w:pPr>
        <w:pStyle w:val="TextBody"/>
        <w:bidi w:val="0"/>
        <w:spacing w:lineRule="auto" w:line="288" w:before="0" w:after="240"/>
        <w:jc w:val="both"/>
        <w:rPr>
          <w:color w:val="000000"/>
        </w:rPr>
      </w:pPr>
      <w:r>
        <w:rPr>
          <w:color w:val="000000"/>
        </w:rPr>
        <w:t>“</w:t>
      </w:r>
      <w:r>
        <w:rPr>
          <w:rFonts w:ascii="Times New Roman;serif" w:hAnsi="Times New Roman;serif"/>
          <w:b/>
          <w:color w:val="000000"/>
          <w:sz w:val="22"/>
        </w:rPr>
        <w:t>Material” Information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projections of future earnings or losses, or other earnings guidance;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quarterly financial results that are known but have not been publicly disclosed;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potential restatements of the Company’s financial statements, changes in auditors or auditor notification that the Company may no longer rely on an auditor’s audit report;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pending or proposed corporate mergers, acquisitions, tender offers, joint ventures or dispositions of significant assets;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changes in senior management or members of our Board of Directors;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significant actual or threatened litigation or governmental investigations or major developments in such matters;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cybersecurity or data privacy risks and incidents, including the discovery of significant vulnerabilities or breaches;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significant developments regarding products, customers, partners, suppliers, orders, contracts or financing sources (e.g., the acquisition or loss of a contract);</w:t>
      </w:r>
    </w:p>
    <w:p>
      <w:pPr>
        <w:pStyle w:val="TextBody"/>
        <w:bidi w:val="0"/>
        <w:spacing w:before="0" w:after="0"/>
        <w:jc w:val="righ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52400"/>
                <wp:effectExtent l="0" t="0" r="0" b="0"/>
                <wp:wrapNone/>
                <wp:docPr id="291" name="Frame28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 xml:space="preserve">changes in dividend policy, declarations of stock splits or stock buybacks or proposed securities offerings or other financings; </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2"/>
        </w:rPr>
        <w:t>potential defaults under our credit agreements or indentures (if any) or potential material liquidity issues; and</w:t>
      </w:r>
    </w:p>
    <w:p>
      <w:pPr>
        <w:pStyle w:val="TextBody"/>
        <w:bidi w:val="0"/>
        <w:spacing w:lineRule="auto" w:line="288" w:before="0" w:after="240"/>
        <w:ind w:left="0" w:right="0" w:hanging="720"/>
        <w:jc w:val="both"/>
        <w:rPr/>
      </w:pPr>
      <w:r>
        <w:rPr>
          <w:color w:val="000000"/>
        </w:rPr>
        <w:t>•</w:t>
      </w:r>
      <w:r>
        <w:rPr>
          <w:rFonts w:ascii="Times New Roman;serif" w:hAnsi="Times New Roman;serif"/>
          <w:b w:val="false"/>
          <w:color w:val="000000"/>
          <w:sz w:val="22"/>
        </w:rPr>
        <w:t>bankruptcies or receiverships.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above items will not always be material, and by including the list above, the Company does not mean to imply that each of these items above is per se material, or that this list is comprehensive. For example, some new products or contracts may clearly be material while others may not be. Furthermore, the Company cannot create an exclusive list of events and information that have a higher probability of being considered material. No “bright-line” standard or list of items can adequately address the range of situations that may arise; information and events should be carefully considered in terms of their materiality to the Company.</w:t>
      </w:r>
    </w:p>
    <w:p>
      <w:pPr>
        <w:pStyle w:val="TextBody"/>
        <w:bidi w:val="0"/>
        <w:spacing w:lineRule="auto" w:line="288" w:before="0" w:after="240"/>
        <w:jc w:val="both"/>
        <w:rPr>
          <w:color w:val="000000"/>
        </w:rPr>
      </w:pPr>
      <w:r>
        <w:rPr>
          <w:color w:val="000000"/>
        </w:rPr>
        <w:t>“</w:t>
      </w:r>
      <w:r>
        <w:rPr>
          <w:rFonts w:ascii="Times New Roman;serif" w:hAnsi="Times New Roman;serif"/>
          <w:b/>
          <w:color w:val="000000"/>
          <w:sz w:val="22"/>
        </w:rPr>
        <w:t>Nonpublic” Information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Material information is “nonpublic” if it has not been disseminated in a manner making it available to investors generally. </w:t>
      </w:r>
    </w:p>
    <w:p>
      <w:pPr>
        <w:pStyle w:val="TextBody"/>
        <w:bidi w:val="0"/>
        <w:spacing w:lineRule="auto" w:line="288" w:before="0" w:after="240"/>
        <w:ind w:left="0" w:right="0" w:firstLine="720"/>
        <w:jc w:val="both"/>
        <w:rPr/>
      </w:pPr>
      <w:r>
        <w:rPr>
          <w:rFonts w:ascii="Times New Roman;serif" w:hAnsi="Times New Roman;serif"/>
          <w:b w:val="false"/>
          <w:color w:val="000000"/>
          <w:sz w:val="22"/>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 session of regular trading hours on the Nasdaq Stock Market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between 9:30 a.m. and 4:00 p.m. Eastern Time (or such earlier closing time as has been set by exchange rules) has occurred.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example, if the Company publicly discloses material nonpublic information of which you are aware before trading begins on a Tuesday, the first time you can buy or sell Company securities is after the closing of the market on Tuesday. However, if the Company publicly discloses material information after trading begins or after the closing of the market on a Tuesday, the first time that you can buy or sell Company securities is after the closing of the market on Wednesday. </w:t>
      </w:r>
    </w:p>
    <w:p>
      <w:pPr>
        <w:pStyle w:val="TextBody"/>
        <w:bidi w:val="0"/>
        <w:spacing w:lineRule="auto" w:line="288" w:before="0" w:after="240"/>
        <w:ind w:left="0" w:right="0" w:hanging="720"/>
        <w:jc w:val="both"/>
        <w:rPr>
          <w:rFonts w:ascii="Times New Roman;serif" w:hAnsi="Times New Roman;serif"/>
          <w:b/>
          <w:i/>
          <w:color w:val="000000"/>
          <w:sz w:val="22"/>
        </w:rPr>
      </w:pPr>
      <w:r>
        <w:rPr>
          <w:rFonts w:ascii="Times New Roman;serif" w:hAnsi="Times New Roman;serif"/>
          <w:b/>
          <w:i/>
          <w:color w:val="000000"/>
          <w:sz w:val="22"/>
        </w:rPr>
        <w:t>D.    What are the Penalties for Insider Trading and Noncompliance with this Insider Trading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Both the SEC and the national securities exchanges, through the Financial Industry Regulatory Authority,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penalties for violating rules against insider trading can be severe and include: </w:t>
      </w:r>
    </w:p>
    <w:p>
      <w:pPr>
        <w:pStyle w:val="TextBody"/>
        <w:bidi w:val="0"/>
        <w:spacing w:lineRule="auto" w:line="240" w:before="0" w:after="120"/>
        <w:ind w:left="0" w:right="0" w:hanging="360"/>
        <w:jc w:val="both"/>
        <w:rPr/>
      </w:pPr>
      <w:r>
        <w:rPr>
          <w:color w:val="000000"/>
        </w:rPr>
        <w:t>•</w:t>
      </w:r>
      <w:r>
        <w:rPr>
          <w:rFonts w:ascii="Times New Roman;serif" w:hAnsi="Times New Roman;serif"/>
          <w:b w:val="false"/>
          <w:color w:val="000000"/>
          <w:sz w:val="22"/>
        </w:rPr>
        <w:t>forfeiting any profit gained or loss avoided by the trading;</w:t>
      </w:r>
    </w:p>
    <w:p>
      <w:pPr>
        <w:pStyle w:val="TextBody"/>
        <w:bidi w:val="0"/>
        <w:spacing w:lineRule="auto" w:line="240" w:before="0" w:after="120"/>
        <w:ind w:left="0" w:right="0" w:hanging="360"/>
        <w:jc w:val="both"/>
        <w:rPr/>
      </w:pPr>
      <w:r>
        <w:rPr>
          <w:color w:val="000000"/>
        </w:rPr>
        <w:t>•</w:t>
      </w:r>
      <w:r>
        <w:rPr>
          <w:rFonts w:ascii="Times New Roman;serif" w:hAnsi="Times New Roman;serif"/>
          <w:b w:val="false"/>
          <w:color w:val="000000"/>
          <w:sz w:val="22"/>
        </w:rPr>
        <w:t>payment of the loss suffered by the persons who, contemporaneously with the purchase or sale of securities that are subject of a violation, have purchased or sold securities of the same class;</w:t>
      </w:r>
    </w:p>
    <w:p>
      <w:pPr>
        <w:pStyle w:val="TextBody"/>
        <w:bidi w:val="0"/>
        <w:spacing w:lineRule="auto" w:line="240" w:before="0" w:after="120"/>
        <w:ind w:left="0" w:right="0" w:hanging="360"/>
        <w:jc w:val="both"/>
        <w:rPr/>
      </w:pPr>
      <w:r>
        <w:rPr>
          <w:color w:val="000000"/>
        </w:rPr>
        <w:t>•</w:t>
      </w:r>
      <w:r>
        <w:rPr>
          <w:rFonts w:ascii="Times New Roman;serif" w:hAnsi="Times New Roman;serif"/>
          <w:b w:val="false"/>
          <w:color w:val="000000"/>
          <w:sz w:val="22"/>
        </w:rPr>
        <w:t xml:space="preserve">payment of criminal penalties of up to $5 million; </w:t>
      </w:r>
    </w:p>
    <w:p>
      <w:pPr>
        <w:pStyle w:val="TextBody"/>
        <w:bidi w:val="0"/>
        <w:spacing w:lineRule="auto" w:line="240" w:before="0" w:after="120"/>
        <w:ind w:left="0" w:right="0" w:hanging="360"/>
        <w:jc w:val="both"/>
        <w:rPr/>
      </w:pPr>
      <w:r>
        <w:rPr>
          <w:color w:val="000000"/>
        </w:rPr>
        <w:t>•</w:t>
      </w:r>
      <w:r>
        <w:rPr>
          <w:rFonts w:ascii="Times New Roman;serif" w:hAnsi="Times New Roman;serif"/>
          <w:b w:val="false"/>
          <w:color w:val="000000"/>
          <w:sz w:val="22"/>
        </w:rPr>
        <w:t xml:space="preserve">payment of civil penalties of up to three times the profit made or loss avoided; </w:t>
      </w:r>
    </w:p>
    <w:p>
      <w:pPr>
        <w:pStyle w:val="TextBody"/>
        <w:bidi w:val="0"/>
        <w:spacing w:lineRule="auto" w:line="240" w:before="0" w:after="120"/>
        <w:ind w:left="0" w:right="0" w:hanging="360"/>
        <w:jc w:val="both"/>
        <w:rPr/>
      </w:pPr>
      <w:r>
        <w:rPr>
          <w:color w:val="000000"/>
        </w:rPr>
        <w:t>•</w:t>
      </w:r>
      <w:r>
        <w:rPr>
          <w:rFonts w:ascii="Times New Roman;serif" w:hAnsi="Times New Roman;serif"/>
          <w:b w:val="false"/>
          <w:color w:val="000000"/>
          <w:sz w:val="22"/>
        </w:rPr>
        <w:t>loss of ability to be a director or officer of a publicly-traded company; and</w:t>
      </w:r>
    </w:p>
    <w:p>
      <w:pPr>
        <w:pStyle w:val="TextBody"/>
        <w:bidi w:val="0"/>
        <w:spacing w:before="0" w:after="0"/>
        <w:jc w:val="righ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52400"/>
                <wp:effectExtent l="0" t="0" r="0" b="0"/>
                <wp:wrapNone/>
                <wp:docPr id="292" name="Frame28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imprisonment for up to 20 years.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and/or the supervisors of the person engaged in insider trading may also be required to pay civil penalties or fines of $2.5 million or more, up to three times the profit made or loss avoided, as well as criminal penalties of up to $25 million, and could under some circumstances be subject to private lawsuits.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pStyle w:val="TextBody"/>
        <w:bidi w:val="0"/>
        <w:spacing w:lineRule="auto" w:line="288" w:before="240" w:after="240"/>
        <w:jc w:val="both"/>
        <w:rPr>
          <w:rFonts w:ascii="Times New Roman;serif" w:hAnsi="Times New Roman;serif"/>
          <w:b/>
          <w:i/>
          <w:color w:val="000000"/>
          <w:sz w:val="22"/>
        </w:rPr>
      </w:pPr>
      <w:r>
        <w:rPr>
          <w:rFonts w:ascii="Times New Roman;serif" w:hAnsi="Times New Roman;serif"/>
          <w:b/>
          <w:i/>
          <w:color w:val="000000"/>
          <w:sz w:val="22"/>
        </w:rPr>
        <w:t>E.    How Do You Report a Violation of this Insider Trading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 You can also report a violation through the Company’s whistleblower hotline number at (833) 210-3983 or online at www.lighthouseservices.com/pattern_usa for reports made in the USA.</w:t>
      </w:r>
    </w:p>
    <w:p>
      <w:pPr>
        <w:pStyle w:val="TextBody"/>
        <w:bidi w:val="0"/>
        <w:spacing w:lineRule="auto" w:line="288" w:before="120" w:after="240"/>
        <w:jc w:val="both"/>
        <w:rPr>
          <w:rFonts w:ascii="Times New Roman;serif" w:hAnsi="Times New Roman;serif"/>
          <w:b/>
          <w:color w:val="000000"/>
          <w:sz w:val="22"/>
        </w:rPr>
      </w:pPr>
      <w:r>
        <w:rPr>
          <w:rFonts w:ascii="Times New Roman;serif" w:hAnsi="Times New Roman;serif"/>
          <w:b/>
          <w:color w:val="000000"/>
          <w:sz w:val="22"/>
        </w:rPr>
        <w:t>PART II. TRADING PROCEDURES</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A.    Special Trading Restrictions Applicable to Insiders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needing to comply with the restrictions on trading in our securities (and the securities of other companies) set forth above, Insiders and their Affiliated Persons are subject to the following special trading restrictions:</w:t>
      </w:r>
    </w:p>
    <w:p>
      <w:pPr>
        <w:pStyle w:val="TextBody"/>
        <w:bidi w:val="0"/>
        <w:spacing w:lineRule="auto" w:line="288" w:before="0" w:after="0"/>
        <w:ind w:left="0" w:right="0" w:firstLine="720"/>
        <w:jc w:val="both"/>
        <w:rPr/>
      </w:pPr>
      <w:r>
        <w:rPr>
          <w:rFonts w:ascii="Times New Roman;serif" w:hAnsi="Times New Roman;serif"/>
          <w:b/>
          <w:color w:val="000000"/>
          <w:sz w:val="22"/>
        </w:rPr>
        <w:t>1.    No Trading by Insiders Except During Open Trading Windows</w:t>
      </w:r>
      <w:r>
        <w:rPr>
          <w:rFonts w:ascii="Times New Roman;serif" w:hAnsi="Times New Roman;serif"/>
          <w:b w:val="false"/>
          <w:color w:val="000000"/>
          <w:sz w:val="22"/>
        </w:rPr>
        <w:t>.</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The announcement of the Company’s quarterly financial results almost always has the potential to have a material effect on the market for the Company’s securities. Although you may not know the financial results prior to public announcement, if you engage in a trade before the financial results are disclosed to the public, such trades may give an appearance of impropriety that could subject the Insider and the Company to a charge of insider trading. Therefore, subject to limited exceptions described herein Insiders, including Designated Insiders, may trade in Company securities only during four quarterly open trading windows, and Designated Insiders may then only trade in Company securities after obtaining pre-clearance from the Compliance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calendar day before the end of the then-current quarter (i.e., March 20, June 20, September 20, and December 20).</w:t>
      </w:r>
      <w:r>
        <w:rPr>
          <w:color w:val="000000"/>
        </w:rPr>
        <w:t xml:space="preserve"> </w:t>
      </w:r>
      <w:r>
        <w:rPr>
          <w:rFonts w:ascii="Times New Roman;serif" w:hAnsi="Times New Roman;serif"/>
          <w:b w:val="false"/>
          <w:color w:val="000000"/>
          <w:sz w:val="22"/>
        </w:rPr>
        <w:t>For the purposes of the foregoing, a full trading day means a session of regular trading hours on the Nasdaq between 9:30 a.m. and 4:00 p.m. Eastern Time (or such earlier closing time as has been set by exchange rules) has occurred. Insiders may be allowed to trade outside of an open trading window only (a) pursuant to a pre-approved Rule 10b5-1 Plan as described below or (b) if granted a waiver in accordance with the procedure for granting waivers as described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example, if we release earnings results before the market opens on a Tuesday, the first time an Insider can buy or sell Company securities is after the closing of the market on Tuesday. However, if we release earnings </w:t>
      </w:r>
    </w:p>
    <w:p>
      <w:pPr>
        <w:pStyle w:val="TextBody"/>
        <w:bidi w:val="0"/>
        <w:spacing w:before="0" w:after="0"/>
        <w:jc w:val="righ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52400"/>
                <wp:effectExtent l="0" t="0" r="0" b="0"/>
                <wp:wrapNone/>
                <wp:docPr id="293" name="Frame28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results after trading begins or after the closing of the market on a Tuesday, the first time that an Insider can buy or sell Company securities is after the closing of the market on Wednesday.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Of course, if an Insider has material nonpublic information about the Company during one of these open trading windows, the Insider may not trade in the Company’s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2.    Special Closed Trading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Compliance Officer may designate, from time to time, a “Special Closed Window” during what would otherwise be a permitted trading window. During a Special Closed Window, Insiders may not trade in the Company’s securities if they are notified by the Compliance Officer that they are subject to the Special Closed Window. The Compliance Officer may also impose a Special Closed Window on Insiders or a subset of them to prohibit trading in the securities of other companies to ensure compliance with this policy. The imposition of a Special Closed Window will not be announced to the Company generally, should not be communicated to any other person, and may itself be considered under this Insider Trading Policy to be material nonpublic information about the Company. The Compliance Officer will subsequently notify the Insiders once the trading window is again open. It is each Insider’s individual duty to ensure that they do not make any trade in Company securities when such Insider is in possession of material, nonpublic information, even if they have not been notified of the imposition of a Special Closed Window.</w:t>
      </w:r>
    </w:p>
    <w:p>
      <w:pPr>
        <w:pStyle w:val="TextBody"/>
        <w:bidi w:val="0"/>
        <w:spacing w:lineRule="auto" w:line="288" w:before="0" w:after="240"/>
        <w:ind w:left="0" w:right="0" w:firstLine="720"/>
        <w:jc w:val="both"/>
        <w:rPr/>
      </w:pPr>
      <w:r>
        <w:rPr>
          <w:rFonts w:ascii="Times New Roman;serif" w:hAnsi="Times New Roman;serif"/>
          <w:b/>
          <w:color w:val="000000"/>
          <w:sz w:val="22"/>
        </w:rPr>
        <w:t>3.    Gifts and Other Distributions in Kind</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Insider may donate or make any other transfer of Company securities without consideration when the Insider is not permitted to trade. In addition to charitable donations or gifts to family members, friends, trusts or others, this prohibition applies to distributions to limited partners by limited partnerships that are subject to this Insider Trading Policy. Making a gift shall be considered trading in securities for purposes of the Pre-Clearance Procedures and Post-Trade Reporting Procedures in Section II.B. below.</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 xml:space="preserve">B.     Pre-Clearance Procedures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No Designated Insider may trade in our securities, even during an open trading window, unless the trade has been approved by the Compliance Officer in accordance with the procedures described below.</w:t>
      </w:r>
      <w:r>
        <w:rPr>
          <w:color w:val="000000"/>
        </w:rPr>
        <w:t xml:space="preserve"> </w:t>
      </w:r>
      <w:r>
        <w:rPr>
          <w:rFonts w:ascii="Times New Roman;serif" w:hAnsi="Times New Roman;serif"/>
          <w:b w:val="false"/>
          <w:color w:val="000000"/>
          <w:sz w:val="22"/>
        </w:rPr>
        <w:t>In reviewing trading requests, the Compliance Officer may consult with our other officers and/or outside legal counsel and will seek approval of their own trades from another individual authorized to perform the Compliance Officer function or from the Chief Financial Officer.</w:t>
      </w:r>
    </w:p>
    <w:p>
      <w:pPr>
        <w:pStyle w:val="TextBody"/>
        <w:bidi w:val="0"/>
        <w:spacing w:lineRule="auto" w:line="288" w:before="0" w:after="240"/>
        <w:ind w:left="0" w:right="0" w:hanging="720"/>
        <w:jc w:val="both"/>
        <w:rPr/>
      </w:pPr>
      <w:r>
        <w:rPr>
          <w:rFonts w:ascii="Times New Roman;serif" w:hAnsi="Times New Roman;serif"/>
          <w:b/>
          <w:color w:val="000000"/>
          <w:sz w:val="22"/>
        </w:rPr>
        <w:t xml:space="preserve">1.Procedures. </w:t>
      </w:r>
      <w:r>
        <w:rPr>
          <w:rFonts w:ascii="Times New Roman;serif" w:hAnsi="Times New Roman;serif"/>
          <w:b w:val="false"/>
          <w:color w:val="000000"/>
          <w:sz w:val="22"/>
        </w:rPr>
        <w:t>No Designated Insider may trade in our securities unless: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Designated Insider has notified the Compliance Officer of all transaction-related facts, including the amount and nature of the proposed trade(s), and has truthfully answered the Compliance Officer’s questions. To provide adequate time for the preparation of any required reports under Section 16 of the Exchange Act, a Stock Transaction Request form should, if practicable, be received by the Compliance Officer at least two (2) business days before the intended trade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Designated Insider has certified to the Compliance Officer in writing before the proposed trade(s) that the Designated Insider does not possess material nonpublic information concerning the Company;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If the Designated Insider is an executive officer or director, the Designated Insider has informed the Compliance Officer, whether, to the Designated Insider’s best knowledge, (a) the Designated Insider has (or is deemed to have) engaged in any opposite way transactions </w:t>
      </w:r>
    </w:p>
    <w:p>
      <w:pPr>
        <w:pStyle w:val="TextBody"/>
        <w:bidi w:val="0"/>
        <w:spacing w:before="0" w:after="0"/>
        <w:jc w:val="righ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52400"/>
                <wp:effectExtent l="0" t="0" r="0" b="0"/>
                <wp:wrapNone/>
                <wp:docPr id="294" name="Frame286"/>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The Compliance Officer has approved the trade(s) and has certified their approval in writing (which may be by email or another electronic method).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Compliance Officer does not assume responsibility for, and approval by the Compliance Officer does not protect the Designated Insider from, the consequences of prohibited insider trading.</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2.Additional Information.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Designated 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pStyle w:val="TextBody"/>
        <w:bidi w:val="0"/>
        <w:spacing w:lineRule="auto" w:line="288" w:before="0" w:after="240"/>
        <w:ind w:left="0" w:right="0" w:hanging="360"/>
        <w:jc w:val="both"/>
        <w:rPr>
          <w:rFonts w:ascii="Times New Roman;serif" w:hAnsi="Times New Roman;serif"/>
          <w:b/>
          <w:color w:val="000000"/>
          <w:sz w:val="22"/>
        </w:rPr>
      </w:pPr>
      <w:r>
        <w:rPr>
          <w:rFonts w:ascii="Times New Roman;serif" w:hAnsi="Times New Roman;serif"/>
          <w:b/>
          <w:color w:val="000000"/>
          <w:sz w:val="22"/>
        </w:rPr>
        <w:t>3.Notification of Brokers of Insider Status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Designated Insiders who are required to file reports under Section 16 of the Exchange Act shall inform their broker-dealers that (a) the Designated Insider is subject to Section 16; (b) the broker shall confirm that any trade by the Designated Insider or any of their affiliates has been precleared by the Company; and (c) the broker is to provide transaction information to the Designated Insider and/or Compliance Officer on the day of a trade.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4.No Obligation to Approve Trades.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approval procedures do not in any way obligate the Compliance Officer to approve any trade.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an event may occur that is material to the Company and is known by only a limited number of directors and employees. The Compliance Officer may decline a Designated Insider’s request to preclear a proposed trade based on the existence of a material nonpublic development – even if the Designated Insider is not aware of that material nonpublic development. If any Designated Insider engages in a trade before a material nonpublic development is disclosed to the public or resolved, the Designated Insider and the Company might be exposed to a charge of insider trading that could be costly and difficult to refute even if the Designated Insider was unaware of the development. So long as the event remains material and nonpublic, the Compliance Officer may decide not to approve any transactions in the Company’s securities. The Compliance Officer will subsequently notify the Designated Insider once the material nonpublic development is disclosed to the public or resolved. If a Designated Insider requests preclearance of a trade during the pendency of such an event, the Compliance Officer may reject the trading request without disclosing the reason.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5.Completion of Trades.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receiving written clearance to engage in a trade from the Compliance Officer, a Designated Insider must complete the proposed trade promptly or make a new trading request. Even if a Designated Insider has received clearance, the Designated Insider may not engage in a trade if (i) such clearance has been rescinded by the Compliance Officer, (ii) the Designated Insider has otherwise received notice that the trading window has closed, or (iii) the Designated Insider has or acquires material nonpublic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52400"/>
                <wp:effectExtent l="0" t="0" r="0" b="0"/>
                <wp:wrapNone/>
                <wp:docPr id="295" name="Frame287"/>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6.Post-Trade Reporting.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details of any transactions in our securities (including transactions effected pursuant to a Rule 10b5-1 Plan) by a Designated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(including the price at which each share was sold if sold in multiple transactions), the name of the broker-dealer that effected the transaction and whether the trade was made pursuant to a valid Rule 10b5-1 Plan (as defined below). This reporting requirement may be satisfied by providing (or having the Designated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C.    Exemptions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1.Pre-Approved Rule 10b5-1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Transactions made pursuant to an approved Rule 10b5-1 Plan (as defined below) will not be subject to our trading windows or pre-clearance procedures.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w:t>
      </w:r>
      <w:r>
        <w:rPr>
          <w:rFonts w:ascii="Times New Roman;serif" w:hAnsi="Times New Roman;serif"/>
          <w:b w:val="false"/>
          <w:color w:val="000000"/>
          <w:sz w:val="22"/>
          <w:u w:val="single"/>
        </w:rPr>
        <w:t>Rule 10b5-1 Plan</w:t>
      </w:r>
      <w:r>
        <w:rPr>
          <w:color w:val="000000"/>
        </w:rPr>
        <w:t>”</w:t>
      </w:r>
      <w:r>
        <w:rPr>
          <w:rFonts w:ascii="Times New Roman;serif" w:hAnsi="Times New Roman;serif"/>
          <w:b w:val="false"/>
          <w:color w:val="000000"/>
          <w:sz w:val="22"/>
        </w:rPr>
        <w:t xml:space="preserve">) enables Insiders and Designated Insiders to trade in Company securities outside of our open trading windows, even when in possession of material nonpublic information.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adopted a separate Rule 10b5-1 Trading Plan Policy that sets forth the requirements for putting in place a Rule 10b5-1 Plan with respect to Company securities.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2.Employee Equity and Retirement Plans.</w:t>
      </w:r>
    </w:p>
    <w:p>
      <w:pPr>
        <w:pStyle w:val="TextBody"/>
        <w:bidi w:val="0"/>
        <w:spacing w:lineRule="auto" w:line="288" w:before="0" w:after="240"/>
        <w:ind w:left="0" w:right="0" w:firstLine="720"/>
        <w:jc w:val="both"/>
        <w:rPr/>
      </w:pPr>
      <w:r>
        <w:rPr>
          <w:rFonts w:ascii="Times New Roman;serif" w:hAnsi="Times New Roman;serif"/>
          <w:b/>
          <w:i/>
          <w:color w:val="000000"/>
          <w:sz w:val="22"/>
        </w:rPr>
        <w:t>Exercise of Stock Options</w:t>
      </w:r>
      <w:r>
        <w:rPr>
          <w:rFonts w:ascii="Times New Roman;serif" w:hAnsi="Times New Roman;serif"/>
          <w:b w:val="false"/>
          <w:color w:val="000000"/>
          <w:sz w:val="22"/>
        </w:rPr>
        <w:t>. The trading prohibitions and restrictions set forth in the Trading Procedures do not apply to the exercise for cash of an option to purchase securities of the Company. However,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 The exercise of any option (regardless of the form of payment of the exercise price) is subject to the current reporting requirements of Section 16 of the Exchange Act and, therefore, Insiders who are required to file reports under Section 16 of the Exchange Act must comply with the post-trade reporting requirement described in Part II, Section B(6) above for any such transaction. In addition, the securities acquired upon the exercise of an option to purchase Company securities are subject to all of the requirements of this Insider Trading Policy, including the Trading Procedures.</w:t>
      </w:r>
    </w:p>
    <w:p>
      <w:pPr>
        <w:pStyle w:val="TextBody"/>
        <w:bidi w:val="0"/>
        <w:spacing w:lineRule="auto" w:line="288" w:before="0" w:after="240"/>
        <w:ind w:left="0" w:right="0" w:firstLine="720"/>
        <w:jc w:val="both"/>
        <w:rPr/>
      </w:pPr>
      <w:r>
        <w:rPr>
          <w:rFonts w:ascii="Times New Roman;serif" w:hAnsi="Times New Roman;serif"/>
          <w:b/>
          <w:i/>
          <w:color w:val="000000"/>
          <w:sz w:val="22"/>
        </w:rPr>
        <w:t>Tax Withholding on Restricted Stock/Units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trading prohibitions and restrictions set forth in the Trading Procedures do not apply to (i)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r>
        <w:rPr>
          <w:color w:val="000000"/>
        </w:rPr>
        <w:t xml:space="preserve"> </w:t>
      </w:r>
      <w:r>
        <w:rPr>
          <w:rFonts w:ascii="Times New Roman;serif" w:hAnsi="Times New Roman;serif"/>
          <w:b w:val="false"/>
          <w:color w:val="000000"/>
          <w:sz w:val="22"/>
        </w:rPr>
        <w:t xml:space="preserve">or (ii) mandatory, non-discretionary sales of shares of stock in accordance with the Company’s policies and applicable equity award </w:t>
      </w:r>
    </w:p>
    <w:p>
      <w:pPr>
        <w:pStyle w:val="TextBody"/>
        <w:bidi w:val="0"/>
        <w:spacing w:before="0" w:after="0"/>
        <w:jc w:val="righ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52400"/>
                <wp:effectExtent l="0" t="0" r="0" b="0"/>
                <wp:wrapNone/>
                <wp:docPr id="296" name="Frame288"/>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plans and agreements in connection with the vesting of restricted stock or upon settlement of restricted stock units solely to satisfy applicable tax withholding requirements. Election by an Insider with respect to how to handle tax withholding in connection with the future vesting and settlement of restricted stock units must be made in compliance with the Trading Procedures, including the open windows set forth in Part II, Section A(1) and the pre-clearance procedures set forth in Part II, Section B.</w:t>
      </w:r>
    </w:p>
    <w:p>
      <w:pPr>
        <w:pStyle w:val="TextBody"/>
        <w:bidi w:val="0"/>
        <w:spacing w:lineRule="auto" w:line="288" w:before="0" w:after="240"/>
        <w:jc w:val="both"/>
        <w:rPr/>
      </w:pPr>
      <w:r>
        <w:rPr>
          <w:rFonts w:ascii="Times New Roman;serif" w:hAnsi="Times New Roman;serif"/>
          <w:b/>
          <w:i/>
          <w:color w:val="000000"/>
          <w:sz w:val="22"/>
        </w:rPr>
        <w:t>Employee Stock Purchase Plan</w:t>
      </w:r>
      <w:r>
        <w:rPr>
          <w:rFonts w:ascii="Times New Roman;serif" w:hAnsi="Times New Roman;serif"/>
          <w:b w:val="false"/>
          <w:color w:val="000000"/>
          <w:sz w:val="22"/>
        </w:rPr>
        <w:t>. The</w:t>
      </w:r>
      <w:r>
        <w:rPr>
          <w:color w:val="000000"/>
        </w:rPr>
        <w:t xml:space="preserve"> </w:t>
      </w:r>
      <w:r>
        <w:rPr>
          <w:rFonts w:ascii="Times New Roman;serif" w:hAnsi="Times New Roman;serif"/>
          <w:b w:val="false"/>
          <w:color w:val="000000"/>
          <w:sz w:val="22"/>
        </w:rPr>
        <w:t>trading prohibitions and restrictions set forth in the Trading Procedures do not apply to periodic wage withholding contributions by the Company or its employees that are used to purchase Company stock pursuant to the employees’ advance instructions under the Company’s 2025 Employee Stock Purchase Plan (the “</w:t>
      </w:r>
      <w:r>
        <w:rPr>
          <w:rFonts w:ascii="Times New Roman;serif" w:hAnsi="Times New Roman;serif"/>
          <w:b w:val="false"/>
          <w:color w:val="000000"/>
          <w:sz w:val="22"/>
          <w:u w:val="single"/>
        </w:rPr>
        <w:t>ESPP</w:t>
      </w:r>
      <w:r>
        <w:rPr>
          <w:color w:val="000000"/>
        </w:rPr>
        <w:t>”</w:t>
      </w:r>
      <w:r>
        <w:rPr>
          <w:rFonts w:ascii="Times New Roman;serif" w:hAnsi="Times New Roman;serif"/>
          <w:b w:val="false"/>
          <w:color w:val="000000"/>
          <w:sz w:val="22"/>
        </w:rPr>
        <w:t>). Furthermore, the trading prohibitions in this Insider Trading Policy do not apply to (i) the withholding by the Company of shares of stock upon the exercise of options granted under the ESPP to satisfy applicable tax withholding requirements if (a) such withholding is required by the applicable plan or award agreement or (b) the election to exercise such tax withholding right was made by the Insider in compliance with the Trading Procedures or (ii) mandatory, non-discretionary sales of shares of stock in accordance with the ESPP upon the exercise of options granted under the ESPP solely to satisfy applicable tax withholding requirements. However, an Insider may not: (a) elect to participate in the plan or alter their instructions regarding the level of withholding or purchase by the Insider of Company securities under the plan; or (b) make cash contributions to the plan (other than through periodic wage withholding), in each case without complying with the Trading Procedures. Any sale of securities acquired under the plan is subject to the prohibitions and restrictions of the Trading Procedures.</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D.    Waivers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waiver of any provision of this Insider Trading Policy or the Trading Procedures may be authorized in writing by the Audit Committee of our Board of Directors. All waivers shall be reported to our Board of Directors.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PART III.     AMENDMENT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This Insider Trading Policy may be amended from time to time with the approval of the Board of Directors or a designated committee thereof.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PART IV.    ACKNOWLEDGEMENT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will deliver a copy of this Insider Trading Policy to all current employees and directors and contractors and to future employees and directors and contractors at the start of their employment or relationship with the Company. Each of these individuals must acknowledge that they have received a copy and agree to comply with the terms of this Insider Trading Policy, and, if applicable, the Trading Procedures contained herein. At our request, employees, directors and contractors will be required to re-acknowledge and agree to comply with the Insider Trading Policy (including any amendments or modifications). For that purpose, an individual will be deemed to have acknowledged and agreed to comply with the Insider Trading Policy, as amended from time to time, when copies of those items have been delivered by regular or electronic mail (or other delivery option used by the Company) by the Compliance Officer or their designee.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Questions regarding this Insider Trading Policy are encouraged and may be directed to the Compliance Officer.</w:t>
      </w:r>
    </w:p>
    <w:p>
      <w:pPr>
        <w:pStyle w:val="TextBody"/>
        <w:bidi w:val="0"/>
        <w:spacing w:before="0" w:after="24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ADOPTED:     September 9, 2025</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EFFECTIVE:    September 18,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52400"/>
                <wp:effectExtent l="0" t="0" r="0" b="0"/>
                <wp:wrapNone/>
                <wp:docPr id="297" name="Frame289"/>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 333-290363 relating to the financial statements of Pattern Group Inc. appearing in this Annual Report on Form 10-K for the year ended December 31, 2025.</w:t>
      </w:r>
    </w:p>
    <w:p>
      <w:pPr>
        <w:pStyle w:val="TextBody"/>
        <w:bidi w:val="0"/>
        <w:spacing w:before="0" w:after="0"/>
        <w:jc w:val="left"/>
        <w:rPr/>
      </w:pPr>
      <w:r>
        <w:rPr/>
      </w:r>
    </w:p>
    <w:p>
      <w:pPr>
        <w:pStyle w:val="TextBody"/>
        <w:bidi w:val="0"/>
        <w:spacing w:lineRule="auto" w:line="276" w:before="0" w:after="3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Salt Lake City, Utah</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David Wright,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Pattern Group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6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601"/>
        <w:gridCol w:w="601"/>
        <w:gridCol w:w="85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Jason Beesley,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Pattern Group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606"/>
        <w:gridCol w:w="606"/>
        <w:gridCol w:w="85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Pattern Group Inc. (the “Company”) for the period ended December 31, 2025, as filed with the Securities and Exchange Commission on the date hereof (the “Report”), I, David Wright, Chief Executive Officer of the Company, certify, pursuant to 18 U.S.C. Section 1350, as adopted pursuant to Section 906 of the Sarbanes-Oxley Act of 2002, that to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6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601"/>
        <w:gridCol w:w="601"/>
        <w:gridCol w:w="85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Wright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certification is being furnished pursuant to Section 906 of the Sarbanes-Oxley Act of 2002 and shall not be deemed “filed” for purposes of Section 18 of the Securities Exchange Act of 1934, as amended, or otherwise subject to the liability of that section. This certification will not be deemed to be incorporated by reference into any filing under the Securities Act of 1933, as amended, or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Pattern Group Inc. (the “Company”) for the period ended December 31, 2025, as filed with the Securities and Exchange Commission on the date hereof (the “Report”), I, Jason Beesley, Chief Financial Officer of the Company, certify, pursuant to 18 U.S.C. Section 1350, as adopted pursuant to Section 906 of the Sarbanes-Oxley Act of 2002, that to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8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606"/>
        <w:gridCol w:w="606"/>
        <w:gridCol w:w="85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Beesley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certification is being furnished pursuant to Section 906 of the Sarbanes-Oxley Act of 2002 and shall not be deemed “filed” for purposes of Section 18 of the Securities Exchange Act of 1934, as amended, or otherwise subject to the liability of that section. This certification will not be deemed to be incorporated by reference into any filing under the Securities Act of 1933, as amended, or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97.1</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PATTERN GROUP INC.</w:t>
      </w:r>
    </w:p>
    <w:p>
      <w:pPr>
        <w:pStyle w:val="TextBody"/>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COMPENSATION RECOVERY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Adopted as of September 9, 2025, subject to effectiveness of the Company’s Registration Statement on Form S-1 for its initial public offering.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Pattern Group Inc., a Delaware corporation (the “Company”), has adopted a Compensation Recovery Policy (this “Policy”) as described below.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    Overview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Global Select Market. Capitalized terms used and not otherwise defined herein shall have the meanings given in Section 3 below.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2.    Compensation Recovery Requirement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the Company is required to prepare a Financial Restatement, the Company shall recover reasonably promptly all Erroneously Awarded Compensation with respect to such Financial Restatement.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3.    Definitions</w:t>
      </w:r>
    </w:p>
    <w:p>
      <w:pPr>
        <w:pStyle w:val="TextBody"/>
        <w:bidi w:val="0"/>
        <w:spacing w:lineRule="auto" w:line="288" w:before="0" w:after="24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Applicable Rules” means any rules or regulations adopted by the Exchange pursuant to Rule 10D-1 under the Exchange Act and any applicable rules or regulations adopted by the SEC pursuant to Section 10D of the Exchange Act.</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Board” means the Board of Directors of the Company.</w: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Committee” means the Compensation Committee of the Board or, in the absence of such committee, a majority of independent directors serving on the Board.</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 xml:space="preserve">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w:t>
      </w:r>
    </w:p>
    <w:p>
      <w:pPr>
        <w:pStyle w:val="TextBody"/>
        <w:bidi w:val="0"/>
        <w:spacing w:before="0" w:after="20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lineRule="auto" w:line="288" w:before="0" w:after="240"/>
        <w:ind w:left="0" w:right="0" w:hanging="36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rPr>
        <w:t>Effective Date” means the date of effectiveness of the Company’s Registration Statement on Form S-1 for its initial public offering.</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r>
        <w:rPr>
          <w:color w:val="000000"/>
        </w:rPr>
        <w:t xml:space="preserve"> </w:t>
      </w:r>
      <w:r>
        <w:rPr>
          <w:rFonts w:ascii="Times New Roman;serif" w:hAnsi="Times New Roman;serif"/>
          <w:b w:val="false"/>
          <w:color w:val="000000"/>
          <w:sz w:val="24"/>
        </w:rPr>
        <w:t>Incentive-Based Compensation is deemed received, earned or vested when the Financial Reporting Measure is attained, not when the actual payment, grant or vesting occurs.</w: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rPr>
        <w:t xml:space="preserve">Exchange” means the Nasdaq Global Select Market. </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pStyle w:val="TextBody"/>
        <w:bidi w:val="0"/>
        <w:spacing w:lineRule="auto" w:line="288" w:before="0" w:after="240"/>
        <w:ind w:left="0" w:right="0" w:hanging="36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rPr>
        <w:t xml:space="preserve">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lineRule="auto" w:line="288" w:before="0" w:after="240"/>
        <w:ind w:left="0" w:right="0" w:hanging="360"/>
        <w:jc w:val="both"/>
        <w:rPr/>
      </w:pPr>
      <w:r>
        <w:rPr>
          <w:rFonts w:ascii="Times New Roman;serif" w:hAnsi="Times New Roman;serif"/>
          <w:b w:val="false"/>
          <w:color w:val="000000"/>
          <w:sz w:val="24"/>
        </w:rPr>
        <w:t>k.</w:t>
      </w:r>
      <w:r>
        <w:rPr>
          <w:color w:val="000000"/>
        </w:rPr>
        <w:t xml:space="preserve"> “</w:t>
      </w:r>
      <w:r>
        <w:rPr>
          <w:rFonts w:ascii="Times New Roman;serif" w:hAnsi="Times New Roman;serif"/>
          <w:b w:val="false"/>
          <w:color w:val="000000"/>
          <w:sz w:val="24"/>
        </w:rPr>
        <w:t xml:space="preserve">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w:t>
      </w:r>
    </w:p>
    <w:p>
      <w:pPr>
        <w:pStyle w:val="TextBody"/>
        <w:bidi w:val="0"/>
        <w:spacing w:before="0" w:after="20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27660"/>
                <wp:effectExtent l="0" t="0" r="0" b="0"/>
                <wp:wrapNone/>
                <wp:docPr id="304" name="Frame29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statements or that would result in a material misstatement if the error were corrected in the current period or left uncorrected in the current period. </w:t>
      </w:r>
    </w:p>
    <w:p>
      <w:pPr>
        <w:pStyle w:val="TextBody"/>
        <w:bidi w:val="0"/>
        <w:spacing w:lineRule="auto" w:line="288" w:before="0" w:after="240"/>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rPr>
        <w:t>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lineRule="auto" w:line="288" w:before="0" w:after="240"/>
        <w:ind w:left="0" w:right="0" w:hanging="36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4.    Exception to Compensation Recovery Requirement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5.    Tax Considerations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6.    Method of Compensation Recovery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a.requiring reimbursement of cash Incentive-Based Compensation previously paid;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b.seeking recovery of any gain realized on the vesting, exercise, settlement, sale, transfer or other disposition of any equity-based awards;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c.cancelling or rescinding some or all outstanding vested or unvested equity-based awards;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d.adjusting or withholding from unpaid compensation or other set-off;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e.cancelling or offsetting against planned future grants of equity-based awards; and/or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f.any other method permitted by applicable law or contract.</w:t>
      </w:r>
    </w:p>
    <w:p>
      <w:pPr>
        <w:pStyle w:val="TextBody"/>
        <w:bidi w:val="0"/>
        <w:spacing w:before="0" w:after="20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27660"/>
                <wp:effectExtent l="0" t="0" r="0" b="0"/>
                <wp:wrapNone/>
                <wp:docPr id="305" name="Frame29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need not utilize the same method of recovery for all Covered Persons or with respect to all types of Erroneously Awarded Compensation.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7.     Policy Interpretation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8.    Policy Administration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9.    Compensation Recovery Repayments not Subject to Indemnification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11.    No Impairment of Other Remedies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Nothing contained in this Policy, and no recoupment or recovery as contemplated herein, shall limit any claims, damages or other legal remedies the Company or any of its affiliates may have against a Covered </w:t>
      </w:r>
    </w:p>
    <w:p>
      <w:pPr>
        <w:pStyle w:val="TextBody"/>
        <w:bidi w:val="0"/>
        <w:spacing w:before="0" w:after="20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27660"/>
                <wp:effectExtent l="0" t="0" r="0" b="0"/>
                <wp:wrapNone/>
                <wp:docPr id="306" name="Frame29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12.    Recovery Requirement Shall not Constitute “Good Reason” Under Employment or Other Compensation Agreements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13.    Amendment; 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14.    Successors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Policy shall be binding and enforceable against all Covered Executives and their successors, beneficiaries, heirs, executors, administrators, or other legal representatives.</w:t>
      </w:r>
    </w:p>
    <w:p>
      <w:pPr>
        <w:pStyle w:val="TextBody"/>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20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27660"/>
                <wp:effectExtent l="0" t="0" r="0" b="0"/>
                <wp:wrapNone/>
                <wp:docPr id="307" name="Frame29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ACKNOWLEDGMENT</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(to be signed by all Covered Persons)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the undersigned, agree and acknowledge that I am fully bound by, and subject to, all of the terms and conditions of the Pattern Group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pStyle w:val="TextBody"/>
        <w:bidi w:val="0"/>
        <w:spacing w:before="0" w:after="240"/>
        <w:jc w:val="left"/>
        <w:rPr/>
      </w:pPr>
      <w:r>
        <w:rPr/>
      </w:r>
    </w:p>
    <w:tbl>
      <w:tblPr>
        <w:tblW w:w="1448"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27660"/>
                <wp:effectExtent l="0" t="0" r="0" b="0"/>
                <wp:wrapNone/>
                <wp:docPr id="308" name="Frame30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hyperlink" Target="https://www.sec.gov/Archives/edgar/data/1811935/000162828025042520/exhibit31-8xk.htm" TargetMode="External"/><Relationship Id="rId11" Type="http://schemas.openxmlformats.org/officeDocument/2006/relationships/hyperlink" Target="https://www.sec.gov/Archives/edgar/data/1811935/000162828025042520/exhibit32-8xk.htm" TargetMode="External"/><Relationship Id="rId12" Type="http://schemas.openxmlformats.org/officeDocument/2006/relationships/hyperlink" Target="https://www.sec.gov/Archives/edgar/data/1811935/000181193525000009/exhibit41-sx1a1.htm" TargetMode="External"/><Relationship Id="rId13" Type="http://schemas.openxmlformats.org/officeDocument/2006/relationships/hyperlink" Target="https://www.sec.gov/Archives/edgar/data/1811935/000181193525000009/exhibit41-sx1a1.htm" TargetMode="External"/><Relationship Id="rId14" Type="http://schemas.openxmlformats.org/officeDocument/2006/relationships/hyperlink" Target="https://www.sec.gov/Archives/edgar/data/1811935/000181193525000009/exhibit41-sx1a1.htm" TargetMode="External"/><Relationship Id="rId15" Type="http://schemas.openxmlformats.org/officeDocument/2006/relationships/hyperlink" Target="https://www.sec.gov/Archives/edgar/data/1811935/000181193525000009/exhibit41-sx1a1.htm" TargetMode="External"/><Relationship Id="rId16" Type="http://schemas.openxmlformats.org/officeDocument/2006/relationships/hyperlink" Target="https://www.sec.gov/Archives/edgar/data/1811935/000162828025041036/exhibit42-sx1.htm" TargetMode="External"/><Relationship Id="rId17" Type="http://schemas.openxmlformats.org/officeDocument/2006/relationships/hyperlink" Target="https://www.sec.gov/Archives/edgar/data/1811935/000181193525000009/exhibit101-sx1a1.htm" TargetMode="External"/><Relationship Id="rId18" Type="http://schemas.openxmlformats.org/officeDocument/2006/relationships/hyperlink" Target="https://www.sec.gov/Archives/edgar/data/1811935/000162828025041036/exhibit102-sx1.htm" TargetMode="External"/><Relationship Id="rId19" Type="http://schemas.openxmlformats.org/officeDocument/2006/relationships/hyperlink" Target="https://www.sec.gov/Archives/edgar/data/1811935/000181193525000009/exhibit1019-sx1a1.htm" TargetMode="External"/><Relationship Id="rId20" Type="http://schemas.openxmlformats.org/officeDocument/2006/relationships/hyperlink" Target="https://www.sec.gov/Archives/edgar/data/1811935/000181193525000009/exhibit1020-sx1a1.htm" TargetMode="External"/><Relationship Id="rId21" Type="http://schemas.openxmlformats.org/officeDocument/2006/relationships/hyperlink" Target="https://www.sec.gov/Archives/edgar/data/1811935/000162828025041036/exhibit105-sx1.htm" TargetMode="External"/><Relationship Id="rId22" Type="http://schemas.openxmlformats.org/officeDocument/2006/relationships/hyperlink" Target="https://www.sec.gov/Archives/edgar/data/1811935/000162828025041036/exhibit1021-sx1.htm" TargetMode="External"/><Relationship Id="rId23" Type="http://schemas.openxmlformats.org/officeDocument/2006/relationships/hyperlink" Target="https://www.sec.gov/Archives/edgar/data/1811935/000162828025041036/exhibit1022-sx1.htm" TargetMode="External"/><Relationship Id="rId24" Type="http://schemas.openxmlformats.org/officeDocument/2006/relationships/hyperlink" Target="https://www.sec.gov/Archives/edgar/data/1811935/000181193525000009/exhibit1023-sx1a1.htm" TargetMode="External"/><Relationship Id="rId25" Type="http://schemas.openxmlformats.org/officeDocument/2006/relationships/hyperlink" Target="https://www.sec.gov/Archives/edgar/data/1811935/000162828025041036/exhibit1015-sx1.htm" TargetMode="External"/><Relationship Id="rId26" Type="http://schemas.openxmlformats.org/officeDocument/2006/relationships/hyperlink" Target="https://www.sec.gov/Archives/edgar/data/1811935/000162828025041036/exhibit1016-sx1.htm" TargetMode="External"/><Relationship Id="rId27" Type="http://schemas.openxmlformats.org/officeDocument/2006/relationships/hyperlink" Target="https://www.sec.gov/Archives/edgar/data/1811935/000162828025041036/exhibit1017-sx1.htm" TargetMode="External"/><Relationship Id="rId28" Type="http://schemas.openxmlformats.org/officeDocument/2006/relationships/hyperlink" Target="https://www.sec.gov/Archives/edgar/data/1811935/000162828025041036/exhibit1018-sx1.htm" TargetMode="External"/><Relationship Id="rId29" Type="http://schemas.openxmlformats.org/officeDocument/2006/relationships/hyperlink" Target="https://www.sec.gov/Archives/edgar/data/1811935/000181193525000009/exhibit211-sx1a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202</Pages>
  <Words>145501</Words>
  <Characters>792701</Characters>
  <CharactersWithSpaces>934464</CharactersWithSpaces>
  <Paragraphs>5775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